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81F82" w14:textId="48BABDD1" w:rsidR="008B0185" w:rsidRPr="00CF10A5" w:rsidRDefault="00CF10A5">
      <w:pPr>
        <w:spacing w:after="0" w:line="259" w:lineRule="auto"/>
        <w:ind w:right="52" w:firstLine="0"/>
        <w:jc w:val="center"/>
        <w:rPr>
          <w:w w:val="80"/>
        </w:rPr>
      </w:pPr>
      <w:r w:rsidRPr="00CF10A5">
        <w:rPr>
          <w:w w:val="80"/>
          <w:sz w:val="28"/>
        </w:rPr>
        <w:t>KAMIL OWCZAREK</w:t>
      </w:r>
    </w:p>
    <w:p w14:paraId="325D60EB" w14:textId="77777777" w:rsidR="008B0185" w:rsidRDefault="007A05AC" w:rsidP="00CF10A5">
      <w:pPr>
        <w:spacing w:after="0" w:line="259" w:lineRule="auto"/>
        <w:ind w:left="2634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787609" wp14:editId="4972AF9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155472" cy="3175"/>
                <wp:effectExtent l="0" t="0" r="0" b="0"/>
                <wp:wrapNone/>
                <wp:docPr id="7730" name="Group 7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472" cy="3175"/>
                          <a:chOff x="0" y="0"/>
                          <a:chExt cx="1155472" cy="317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115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472">
                                <a:moveTo>
                                  <a:pt x="0" y="0"/>
                                </a:moveTo>
                                <a:lnTo>
                                  <a:pt x="1155472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616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27F91" id="Group 7730" o:spid="_x0000_s1026" style="position:absolute;margin-left:0;margin-top:.75pt;width:91pt;height:.25pt;z-index:-251658240;mso-position-horizontal:center;mso-position-horizontal-relative:margin" coordsize="115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">
                <v:shape id="Shape 6" o:spid="_x0000_s1027" style="position:absolute;width:11554;height:0;visibility:visible;mso-wrap-style:square;v-text-anchor:top" coordsize="1155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" path="m,l1155472,e" filled="f" strokecolor="#161617" strokeweight=".25pt">
                  <v:stroke miterlimit="83231f" joinstyle="miter"/>
                  <v:path arrowok="t" textboxrect="0,0,1155472,0"/>
                </v:shape>
                <w10:wrap anchorx="margin"/>
              </v:group>
            </w:pict>
          </mc:Fallback>
        </mc:AlternateContent>
      </w:r>
    </w:p>
    <w:p w14:paraId="435BF508" w14:textId="0E9446FF" w:rsidR="008B0185" w:rsidRDefault="00CF10A5" w:rsidP="00CF10A5">
      <w:pPr>
        <w:spacing w:line="236" w:lineRule="auto"/>
        <w:ind w:left="150" w:right="41" w:firstLine="0"/>
        <w:jc w:val="center"/>
        <w:rPr>
          <w:b/>
          <w:w w:val="80"/>
          <w:sz w:val="40"/>
        </w:rPr>
      </w:pPr>
      <w:r w:rsidRPr="00CF10A5">
        <w:rPr>
          <w:b/>
          <w:w w:val="80"/>
          <w:sz w:val="40"/>
        </w:rPr>
        <w:t>PRZESTRZEŃ PUBLICZNA JAKO KATALIZATOR  ZMIAN SPOŁECZNYCH I EKONOMICZNYCH  OBSZARU ZAINWESTOWANIA</w:t>
      </w:r>
    </w:p>
    <w:p w14:paraId="6974678C" w14:textId="77777777" w:rsidR="00CF10A5" w:rsidRPr="00CF10A5" w:rsidRDefault="00CF10A5" w:rsidP="00CF10A5">
      <w:pPr>
        <w:spacing w:line="236" w:lineRule="auto"/>
        <w:ind w:left="150" w:right="41" w:firstLine="0"/>
        <w:jc w:val="center"/>
        <w:rPr>
          <w:w w:val="80"/>
        </w:rPr>
      </w:pPr>
    </w:p>
    <w:p w14:paraId="39D40FB2" w14:textId="77777777" w:rsidR="008B0185" w:rsidRDefault="007A05AC">
      <w:pPr>
        <w:ind w:left="-15" w:right="37"/>
      </w:pPr>
      <w:r>
        <w:t>Architektura obok malarstwa, rysunku, rzeźby, działań związanych z muzyką jest uznawana za dziedzinę sztuki. Wyróżnia ją jednak fakt, że dostarcza swoim odbiorcom nie tylko wrażenia estetyczne, ale również, co jest często istotniejsze – wpływa na ich życie</w:t>
      </w:r>
      <w:r>
        <w:t>, odczuwane emocje, sposób poruszania się. Odpowiada na jedną z pięciu podstawowych potrzeb człowieka niezbędnych do przeżycia którymi są: powietrze, woda, jedzenie, sen, schronienie. Abraham Maslow w swojej Piramidzie Potrzeb pokazuje, które wartości są n</w:t>
      </w:r>
      <w:r>
        <w:t>ajważniejsze i w największym stopniu oddziałują na zachowanie człowieka</w:t>
      </w:r>
      <w:r>
        <w:rPr>
          <w:sz w:val="17"/>
          <w:vertAlign w:val="superscript"/>
        </w:rPr>
        <w:footnoteReference w:id="1"/>
      </w:r>
      <w:r>
        <w:t>. Potrzebę schronienia można zaliczyć do dwóch kategorii mieszących się u podstawy diagramu – do potrzeb fizjologicznych i bezpieczeństwa. Ze względu na istotną funkcję, jaką architek</w:t>
      </w:r>
      <w:r>
        <w:t xml:space="preserve">tura pełni w naszym życiu, nazywa się ją matką sztuki. </w:t>
      </w:r>
    </w:p>
    <w:p w14:paraId="176AE6B3" w14:textId="77777777" w:rsidR="008B0185" w:rsidRDefault="007A05AC">
      <w:pPr>
        <w:ind w:left="-15" w:right="37"/>
      </w:pPr>
      <w:r>
        <w:t>Działania architektoniczne mogą w znacznym stopni wpłynąć na społeczeństwo. W mieście jesteśmy otoczeni przez budynki, place i ulice, które determinują nasz kierunek poruszania się, nasze odczucia, my</w:t>
      </w:r>
      <w:r>
        <w:t>śli, zachowania. W pewnych miejscach czujemy się dobrze, chcemy w nich przebywać, poznawać je oraz nawiązywać interakcje społeczne z ich współużytkownikami, podczas gdy inne obszary wydają się nam obce, nieprzyjazne i pogarszają nasz nastrój. Niezadbane, ź</w:t>
      </w:r>
      <w:r>
        <w:t>le wykorzystywane przestrzenie wywołują negatywne emocje i zwiększają częstotliwość występowania patologicznych zjawisk społecznych.</w:t>
      </w:r>
    </w:p>
    <w:p w14:paraId="7B211BFE" w14:textId="6D9925EF" w:rsidR="008B0185" w:rsidRDefault="007A05AC" w:rsidP="00CF10A5">
      <w:pPr>
        <w:ind w:left="-15" w:right="37" w:firstLine="0"/>
      </w:pPr>
      <w:r>
        <w:t xml:space="preserve">Przykładem miejsca, którego renowacja wpłynęła na lokalną ludność jest </w:t>
      </w:r>
      <w:proofErr w:type="spellStart"/>
      <w:r>
        <w:t>Superkilen</w:t>
      </w:r>
      <w:proofErr w:type="spellEnd"/>
      <w:r>
        <w:t xml:space="preserve">. Autorami placu są pracownie: TOPOTEK 1, </w:t>
      </w:r>
      <w:r>
        <w:t xml:space="preserve">BIG </w:t>
      </w:r>
      <w:proofErr w:type="spellStart"/>
      <w:r>
        <w:t>Bjarke</w:t>
      </w:r>
      <w:proofErr w:type="spellEnd"/>
      <w:r>
        <w:t xml:space="preserve"> </w:t>
      </w:r>
      <w:proofErr w:type="spellStart"/>
      <w:r>
        <w:t>Ingels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oraz </w:t>
      </w:r>
      <w:proofErr w:type="spellStart"/>
      <w:r>
        <w:t>Superflex</w:t>
      </w:r>
      <w:proofErr w:type="spellEnd"/>
      <w:r>
        <w:rPr>
          <w:sz w:val="17"/>
          <w:vertAlign w:val="superscript"/>
        </w:rPr>
        <w:footnoteReference w:id="2"/>
      </w:r>
      <w:r>
        <w:t>. Projekt powstał w 2007 roku</w:t>
      </w:r>
      <w:r>
        <w:rPr>
          <w:sz w:val="17"/>
          <w:vertAlign w:val="superscript"/>
        </w:rPr>
        <w:footnoteReference w:id="3"/>
      </w:r>
      <w:r>
        <w:t xml:space="preserve"> a budowę ukończono w 2012 roku</w:t>
      </w:r>
      <w:r>
        <w:rPr>
          <w:sz w:val="17"/>
          <w:vertAlign w:val="superscript"/>
        </w:rPr>
        <w:footnoteReference w:id="4"/>
      </w:r>
      <w:r>
        <w:t xml:space="preserve">. Plac znajduje się w Kopenhadze, w  dzielnicy </w:t>
      </w:r>
      <w:proofErr w:type="spellStart"/>
      <w:r>
        <w:t>Nørrebro</w:t>
      </w:r>
      <w:proofErr w:type="spellEnd"/>
      <w:r>
        <w:t xml:space="preserve">, która </w:t>
      </w:r>
      <w:r w:rsidR="00CF10A5">
        <w:t>sąsiaduje od północy z centrum Kopenhagi i zajmuje powierzchnię 39 000 metrów kwadratowych</w:t>
      </w:r>
      <w:r w:rsidR="00CF10A5">
        <w:rPr>
          <w:sz w:val="17"/>
          <w:vertAlign w:val="superscript"/>
        </w:rPr>
        <w:t>5</w:t>
      </w:r>
      <w:r w:rsidR="00CF10A5">
        <w:t xml:space="preserve">. Celem projektu było stworzenie przestrzeni, w której </w:t>
      </w:r>
      <w:proofErr w:type="spellStart"/>
      <w:r w:rsidR="00CF10A5">
        <w:t>multikulturowe</w:t>
      </w:r>
      <w:proofErr w:type="spellEnd"/>
      <w:r w:rsidR="00CF10A5">
        <w:t xml:space="preserve"> społeczeństwo będzie mogło się poznać i zaakceptować. </w:t>
      </w:r>
    </w:p>
    <w:p w14:paraId="403BDD9A" w14:textId="77777777" w:rsidR="008B0185" w:rsidRDefault="007A05AC">
      <w:pPr>
        <w:spacing w:after="170" w:line="259" w:lineRule="auto"/>
        <w:ind w:left="521" w:right="0" w:firstLine="0"/>
        <w:jc w:val="left"/>
      </w:pPr>
      <w:r>
        <w:rPr>
          <w:noProof/>
        </w:rPr>
        <w:lastRenderedPageBreak/>
        <w:drawing>
          <wp:inline distT="0" distB="0" distL="0" distR="0" wp14:anchorId="10EB14EA" wp14:editId="76F92E34">
            <wp:extent cx="3781084" cy="3326911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1084" cy="332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4060" w14:textId="77777777" w:rsidR="008B0185" w:rsidRPr="00CF10A5" w:rsidRDefault="007A05AC">
      <w:pPr>
        <w:shd w:val="clear" w:color="auto" w:fill="E0E0E0"/>
        <w:spacing w:after="111" w:line="265" w:lineRule="auto"/>
        <w:ind w:left="10" w:right="0" w:hanging="10"/>
        <w:jc w:val="center"/>
        <w:rPr>
          <w:lang w:val="en-GB"/>
        </w:rPr>
      </w:pPr>
      <w:r>
        <w:rPr>
          <w:sz w:val="16"/>
        </w:rPr>
        <w:t xml:space="preserve">Ryc. 1. Piramida Potrzeb według Abrahama Maslowa. </w:t>
      </w:r>
      <w:proofErr w:type="spellStart"/>
      <w:r w:rsidRPr="00CF10A5">
        <w:rPr>
          <w:sz w:val="16"/>
          <w:lang w:val="en-GB"/>
        </w:rPr>
        <w:t>Źródło</w:t>
      </w:r>
      <w:proofErr w:type="spellEnd"/>
      <w:r w:rsidRPr="00CF10A5">
        <w:rPr>
          <w:sz w:val="16"/>
          <w:lang w:val="en-GB"/>
        </w:rPr>
        <w:t>: https://www.archdaily.com/28</w:t>
      </w:r>
      <w:r w:rsidRPr="00CF10A5">
        <w:rPr>
          <w:sz w:val="16"/>
          <w:lang w:val="en-GB"/>
        </w:rPr>
        <w:t xml:space="preserve">6223/ superkilen-topotek-1-big-architects- superflex/5088d8cf28ba0d75750000f2-superkilen-topotek1-big-architects- </w:t>
      </w:r>
      <w:proofErr w:type="spellStart"/>
      <w:r w:rsidRPr="00CF10A5">
        <w:rPr>
          <w:sz w:val="16"/>
          <w:lang w:val="en-GB"/>
        </w:rPr>
        <w:t>superflex</w:t>
      </w:r>
      <w:proofErr w:type="spellEnd"/>
      <w:r w:rsidRPr="00CF10A5">
        <w:rPr>
          <w:sz w:val="16"/>
          <w:lang w:val="en-GB"/>
        </w:rPr>
        <w:t>-image (</w:t>
      </w:r>
      <w:proofErr w:type="spellStart"/>
      <w:r w:rsidRPr="00CF10A5">
        <w:rPr>
          <w:sz w:val="16"/>
          <w:lang w:val="en-GB"/>
        </w:rPr>
        <w:t>dostęp</w:t>
      </w:r>
      <w:proofErr w:type="spellEnd"/>
      <w:r w:rsidRPr="00CF10A5">
        <w:rPr>
          <w:sz w:val="16"/>
          <w:lang w:val="en-GB"/>
        </w:rPr>
        <w:t>: 02.04.2018).</w:t>
      </w:r>
    </w:p>
    <w:p w14:paraId="51FF7E23" w14:textId="77777777" w:rsidR="008B0185" w:rsidRDefault="007A05AC">
      <w:pPr>
        <w:spacing w:after="170" w:line="259" w:lineRule="auto"/>
        <w:ind w:left="-187" w:right="-187" w:firstLine="0"/>
        <w:jc w:val="left"/>
      </w:pPr>
      <w:r>
        <w:rPr>
          <w:noProof/>
        </w:rPr>
        <w:drawing>
          <wp:inline distT="0" distB="0" distL="0" distR="0" wp14:anchorId="53AC1CF2" wp14:editId="0CDF4244">
            <wp:extent cx="4500000" cy="240075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4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E7B2" w14:textId="77777777" w:rsidR="008B0185" w:rsidRDefault="007A05AC">
      <w:pPr>
        <w:shd w:val="clear" w:color="auto" w:fill="E0E0E0"/>
        <w:spacing w:line="265" w:lineRule="auto"/>
        <w:ind w:left="10" w:right="0" w:hanging="10"/>
        <w:jc w:val="center"/>
      </w:pPr>
      <w:r>
        <w:rPr>
          <w:sz w:val="16"/>
        </w:rPr>
        <w:t xml:space="preserve">Ryc. 2. </w:t>
      </w:r>
      <w:proofErr w:type="spellStart"/>
      <w:r>
        <w:rPr>
          <w:sz w:val="16"/>
        </w:rPr>
        <w:t>Superkilen</w:t>
      </w:r>
      <w:proofErr w:type="spellEnd"/>
      <w:r>
        <w:rPr>
          <w:sz w:val="16"/>
        </w:rPr>
        <w:t xml:space="preserve">, koncepcja przestrzenna.  </w:t>
      </w:r>
    </w:p>
    <w:p w14:paraId="25436F7B" w14:textId="77777777" w:rsidR="008B0185" w:rsidRDefault="007A05AC">
      <w:pPr>
        <w:shd w:val="clear" w:color="auto" w:fill="E0E0E0"/>
        <w:spacing w:line="265" w:lineRule="auto"/>
        <w:ind w:left="10" w:right="0" w:hanging="10"/>
        <w:jc w:val="center"/>
      </w:pPr>
      <w:r>
        <w:rPr>
          <w:sz w:val="16"/>
        </w:rPr>
        <w:t xml:space="preserve">Źródło: http://www.debreceninap.hu/kultura/2016/04/26/a-kortars-dan-epiteszetrol-nyilt- </w:t>
      </w:r>
      <w:proofErr w:type="spellStart"/>
      <w:r>
        <w:rPr>
          <w:sz w:val="16"/>
        </w:rPr>
        <w:t>kiallitas</w:t>
      </w:r>
      <w:proofErr w:type="spellEnd"/>
      <w:r>
        <w:rPr>
          <w:sz w:val="16"/>
        </w:rPr>
        <w:t>-a-</w:t>
      </w:r>
      <w:proofErr w:type="spellStart"/>
      <w:r>
        <w:rPr>
          <w:sz w:val="16"/>
        </w:rPr>
        <w:t>debreceni</w:t>
      </w:r>
      <w:proofErr w:type="spellEnd"/>
      <w:r>
        <w:rPr>
          <w:sz w:val="16"/>
        </w:rPr>
        <w:t>-</w:t>
      </w:r>
      <w:proofErr w:type="spellStart"/>
      <w:r>
        <w:rPr>
          <w:sz w:val="16"/>
        </w:rPr>
        <w:t>modemben</w:t>
      </w:r>
      <w:proofErr w:type="spellEnd"/>
      <w:r>
        <w:rPr>
          <w:sz w:val="16"/>
        </w:rPr>
        <w:t>/ (dostęp: 03.04.2018).</w:t>
      </w:r>
    </w:p>
    <w:p w14:paraId="7566BD1C" w14:textId="77777777" w:rsidR="008B0185" w:rsidRDefault="007A05AC">
      <w:pPr>
        <w:ind w:left="-15" w:right="37"/>
      </w:pPr>
      <w:r>
        <w:lastRenderedPageBreak/>
        <w:t>Dzielnica w ciągu ostatnich 100 lat rozwijała się bardzo szybko. Niewielka wioska przeobraziła się w miejsce życia klasy robotniczej, a następnie w obszar</w:t>
      </w:r>
      <w:r>
        <w:t xml:space="preserve"> o wysokim odsetku imigrantów. Jest to przestrzeń </w:t>
      </w:r>
      <w:proofErr w:type="spellStart"/>
      <w:r>
        <w:t>multikulturowa</w:t>
      </w:r>
      <w:proofErr w:type="spellEnd"/>
      <w:r>
        <w:t>, reprezentowana przez około 60 różnych narodowości</w:t>
      </w:r>
      <w:r>
        <w:rPr>
          <w:sz w:val="17"/>
          <w:vertAlign w:val="superscript"/>
        </w:rPr>
        <w:t>6</w:t>
      </w:r>
      <w:r>
        <w:t>. Obszar ten nie cechował się otwartością i dobrym zagospodarowaniem. Dzielnica przed inwestycją miała mało terenów zielonych. Charakteryzow</w:t>
      </w:r>
      <w:r>
        <w:t>ała się intensywnym ruchem samochodowym i dużą gęstością zaludnienia. Z dnia na dzień coraz bardziej niszczała i odstraszała przechodniów. Rozwijał się na niej nielegalny handel. Przestępczość na tym terenie niebezpiecznie rosła. Często dochodziło do wojen</w:t>
      </w:r>
      <w:r>
        <w:t xml:space="preserve"> gangów z publicznymi strzelaninami. Wzmagały się konflikty światopoglądowe, rosło niezadowolenie społeczne. Poszczególne kręgi kulturowe nie chciały integrować się z innymi mieszkańcami. Hermetyczne środowiska zaczęły walczyć pomiędzy sobą. Media przesadn</w:t>
      </w:r>
      <w:r>
        <w:t xml:space="preserve">ie informowały o problemie mieszkańców Kopenhagi, co doprowadziło do jeszcze większego pogłębienia zjawisk patologicznych. </w:t>
      </w:r>
    </w:p>
    <w:p w14:paraId="0171C5A6" w14:textId="33B0E338" w:rsidR="008B0185" w:rsidRDefault="007A05AC">
      <w:pPr>
        <w:ind w:left="-15" w:right="37"/>
      </w:pPr>
      <w:r>
        <w:t>Szczególne znaczenie dla projektu miało uwzględnienie struktury lokalnej ludności w procesie projektowania. Współpracowano z mieszka</w:t>
      </w:r>
      <w:r>
        <w:t xml:space="preserve">ńcami i innymi zainteresowanymi stronami, wysłuchiwano ich opinii i rad oraz poproszono o wskazanie elementu ich kultury, który jako wyposażenie miejskie będzie mógł promować ich narodowość. W taki sposób na obszarze projektu urbanistycznego </w:t>
      </w:r>
      <w:proofErr w:type="spellStart"/>
      <w:r>
        <w:t>Superkilen</w:t>
      </w:r>
      <w:proofErr w:type="spellEnd"/>
      <w:r>
        <w:t xml:space="preserve"> ust</w:t>
      </w:r>
      <w:r>
        <w:t>awiono ponad 100 różnych obiektów, które reprezentują prawie 60 narodowości</w:t>
      </w:r>
      <w:r>
        <w:t>. Na terenie placu postawiono wiele rodzajów siedzisk, huśtawki z Iraku, indyjską ściankę wspinaczkową , system nagłośnienia z Jamajki, egipskie stoły, kuwejckie grille, hiszpański</w:t>
      </w:r>
      <w:r>
        <w:t>e ławki, a nawet zjeżdżalnię z Czarnobyla. Przestrzeń publiczna jest w tym projekcie bardziej dynamiczna niż zwykle projektowane place. Została podzielona na trzy strefy, które odróżniają się charakterystycznymi kolorami: Plac Czerwony, Czarny Rynek i Ziel</w:t>
      </w:r>
      <w:r>
        <w:t>ony Park. Przez całe założenie biegnie ścieżka rowerowa i piesza będąca częścią 10-kilumetrowej ścieżki rowerowej łączącej północną i południową część miasta</w:t>
      </w:r>
      <w:r>
        <w:rPr>
          <w:sz w:val="17"/>
          <w:vertAlign w:val="superscript"/>
        </w:rPr>
        <w:t>8</w:t>
      </w:r>
      <w:r>
        <w:t>.</w:t>
      </w:r>
    </w:p>
    <w:p w14:paraId="04B82921" w14:textId="77777777" w:rsidR="008B0185" w:rsidRDefault="007A05AC">
      <w:pPr>
        <w:ind w:left="-15" w:right="37"/>
      </w:pPr>
      <w:r>
        <w:t>Plac czerwony jest wyrazem nowoczesnego życia. Miał służyć jako dodatkowa przestrzeń do zajęć sp</w:t>
      </w:r>
      <w:r>
        <w:t xml:space="preserve">ortowych odbywających się w pobliskim budynku hali </w:t>
      </w:r>
    </w:p>
    <w:p w14:paraId="280E96D5" w14:textId="77777777" w:rsidR="008B0185" w:rsidRDefault="007A05AC">
      <w:pPr>
        <w:spacing w:after="70" w:line="259" w:lineRule="auto"/>
        <w:ind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BFDCFB7" wp14:editId="03169559">
                <wp:extent cx="1980006" cy="3175"/>
                <wp:effectExtent l="0" t="0" r="0" b="0"/>
                <wp:docPr id="7974" name="Group 7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6" cy="3175"/>
                          <a:chOff x="0" y="0"/>
                          <a:chExt cx="1980006" cy="3175"/>
                        </a:xfrm>
                      </wpg:grpSpPr>
                      <wps:wsp>
                        <wps:cNvPr id="170" name="Shape 170"/>
                        <wps:cNvSpPr/>
                        <wps:spPr>
                          <a:xfrm>
                            <a:off x="0" y="0"/>
                            <a:ext cx="198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6">
                                <a:moveTo>
                                  <a:pt x="0" y="0"/>
                                </a:moveTo>
                                <a:lnTo>
                                  <a:pt x="1980006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616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74" style="width:155.906pt;height:0.25pt;mso-position-horizontal-relative:char;mso-position-vertical-relative:line" coordsize="19800,31">
                <v:shape id="Shape 170" style="position:absolute;width:19800;height:0;left:0;top:0;" coordsize="1980006,0" path="m0,0l1980006,0">
                  <v:stroke weight="0.25pt" endcap="flat" joinstyle="miter" miterlimit="10" on="true" color="#161617"/>
                  <v:fill on="false" color="#000000" opacity="0"/>
                </v:shape>
              </v:group>
            </w:pict>
          </mc:Fallback>
        </mc:AlternateContent>
      </w:r>
    </w:p>
    <w:p w14:paraId="3C5D6D69" w14:textId="77777777" w:rsidR="008B0185" w:rsidRDefault="007A05AC">
      <w:pPr>
        <w:numPr>
          <w:ilvl w:val="0"/>
          <w:numId w:val="1"/>
        </w:numPr>
        <w:spacing w:after="26" w:line="259" w:lineRule="auto"/>
        <w:ind w:right="3137" w:hanging="283"/>
        <w:jc w:val="left"/>
      </w:pPr>
      <w:r>
        <w:rPr>
          <w:sz w:val="16"/>
        </w:rPr>
        <w:t xml:space="preserve">E. Chądzyńska, </w:t>
      </w:r>
      <w:r>
        <w:rPr>
          <w:i/>
          <w:sz w:val="16"/>
        </w:rPr>
        <w:t xml:space="preserve">Rewitalizacja zdegradowanych..., </w:t>
      </w:r>
      <w:r>
        <w:rPr>
          <w:sz w:val="16"/>
        </w:rPr>
        <w:t>op. cit.</w:t>
      </w:r>
      <w:r>
        <w:rPr>
          <w:i/>
          <w:sz w:val="16"/>
        </w:rPr>
        <w:t>,</w:t>
      </w:r>
      <w:r>
        <w:rPr>
          <w:sz w:val="16"/>
        </w:rPr>
        <w:t xml:space="preserve"> s. 94.</w:t>
      </w:r>
    </w:p>
    <w:p w14:paraId="6552C1E7" w14:textId="4DD4543E" w:rsidR="00C328BD" w:rsidRPr="00C328BD" w:rsidRDefault="007A05AC">
      <w:pPr>
        <w:numPr>
          <w:ilvl w:val="0"/>
          <w:numId w:val="1"/>
        </w:numPr>
        <w:spacing w:after="0" w:line="325" w:lineRule="auto"/>
        <w:ind w:right="3137" w:hanging="283"/>
        <w:jc w:val="left"/>
      </w:pPr>
      <w:r>
        <w:rPr>
          <w:i/>
          <w:sz w:val="16"/>
        </w:rPr>
        <w:t>Ibidem.</w:t>
      </w:r>
      <w:r>
        <w:rPr>
          <w:sz w:val="14"/>
          <w:vertAlign w:val="superscript"/>
        </w:rPr>
        <w:tab/>
      </w:r>
    </w:p>
    <w:p w14:paraId="673B26F7" w14:textId="0F811015" w:rsidR="008B0185" w:rsidRDefault="007A05AC">
      <w:pPr>
        <w:numPr>
          <w:ilvl w:val="0"/>
          <w:numId w:val="1"/>
        </w:numPr>
        <w:spacing w:after="0" w:line="325" w:lineRule="auto"/>
        <w:ind w:right="3137" w:hanging="283"/>
        <w:jc w:val="left"/>
      </w:pPr>
      <w:r>
        <w:rPr>
          <w:i/>
          <w:sz w:val="16"/>
        </w:rPr>
        <w:t>Ibidem.</w:t>
      </w:r>
    </w:p>
    <w:p w14:paraId="6352B90E" w14:textId="77777777" w:rsidR="008B0185" w:rsidRPr="00CF10A5" w:rsidRDefault="007A05AC">
      <w:pPr>
        <w:spacing w:after="18" w:line="270" w:lineRule="auto"/>
        <w:ind w:left="278" w:right="0" w:hanging="293"/>
        <w:jc w:val="left"/>
        <w:rPr>
          <w:lang w:val="en-GB"/>
        </w:rPr>
      </w:pPr>
      <w:r w:rsidRPr="00CF10A5">
        <w:rPr>
          <w:sz w:val="14"/>
          <w:vertAlign w:val="superscript"/>
          <w:lang w:val="en-GB"/>
        </w:rPr>
        <w:t xml:space="preserve">8 </w:t>
      </w:r>
      <w:r w:rsidRPr="00CF10A5">
        <w:rPr>
          <w:sz w:val="16"/>
          <w:lang w:val="en-GB"/>
        </w:rPr>
        <w:t xml:space="preserve">Biking </w:t>
      </w:r>
      <w:proofErr w:type="spellStart"/>
      <w:r w:rsidRPr="00CF10A5">
        <w:rPr>
          <w:sz w:val="16"/>
          <w:lang w:val="en-GB"/>
        </w:rPr>
        <w:t>Nørrebro</w:t>
      </w:r>
      <w:proofErr w:type="spellEnd"/>
      <w:r w:rsidRPr="00CF10A5">
        <w:rPr>
          <w:sz w:val="16"/>
          <w:lang w:val="en-GB"/>
        </w:rPr>
        <w:t>, Copenhagen, http://www.lets-get-lost.com/blog/2015/06/biking-norrebrocopenhagen (</w:t>
      </w:r>
      <w:proofErr w:type="spellStart"/>
      <w:r w:rsidRPr="00CF10A5">
        <w:rPr>
          <w:sz w:val="16"/>
          <w:lang w:val="en-GB"/>
        </w:rPr>
        <w:t>dostęp</w:t>
      </w:r>
      <w:proofErr w:type="spellEnd"/>
      <w:r w:rsidRPr="00CF10A5">
        <w:rPr>
          <w:sz w:val="16"/>
          <w:lang w:val="en-GB"/>
        </w:rPr>
        <w:t>: 02.04.2018).</w:t>
      </w:r>
    </w:p>
    <w:p w14:paraId="77923A6E" w14:textId="77777777" w:rsidR="008B0185" w:rsidRDefault="007A05AC">
      <w:pPr>
        <w:spacing w:after="170" w:line="259" w:lineRule="auto"/>
        <w:ind w:right="0" w:firstLine="0"/>
        <w:jc w:val="left"/>
      </w:pPr>
      <w:r>
        <w:rPr>
          <w:noProof/>
        </w:rPr>
        <w:lastRenderedPageBreak/>
        <w:drawing>
          <wp:inline distT="0" distB="0" distL="0" distR="0" wp14:anchorId="146C202C" wp14:editId="131AEB3E">
            <wp:extent cx="4504945" cy="2959608"/>
            <wp:effectExtent l="0" t="0" r="0" b="0"/>
            <wp:docPr id="9354" name="Picture 9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" name="Picture 93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4945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80D4" w14:textId="77777777" w:rsidR="008B0185" w:rsidRDefault="007A05AC">
      <w:pPr>
        <w:shd w:val="clear" w:color="auto" w:fill="E0E0E0"/>
        <w:spacing w:line="265" w:lineRule="auto"/>
        <w:ind w:left="10" w:right="52" w:hanging="10"/>
        <w:jc w:val="center"/>
      </w:pPr>
      <w:r>
        <w:rPr>
          <w:sz w:val="16"/>
        </w:rPr>
        <w:t xml:space="preserve">Ryc. 3. </w:t>
      </w:r>
      <w:proofErr w:type="spellStart"/>
      <w:r>
        <w:rPr>
          <w:sz w:val="16"/>
        </w:rPr>
        <w:t>Superkilen</w:t>
      </w:r>
      <w:proofErr w:type="spellEnd"/>
      <w:r>
        <w:rPr>
          <w:sz w:val="16"/>
        </w:rPr>
        <w:t xml:space="preserve">, Plac Czerwony.  </w:t>
      </w:r>
    </w:p>
    <w:p w14:paraId="6FD30A06" w14:textId="77777777" w:rsidR="008B0185" w:rsidRDefault="007A05AC">
      <w:pPr>
        <w:shd w:val="clear" w:color="auto" w:fill="E0E0E0"/>
        <w:spacing w:after="531" w:line="265" w:lineRule="auto"/>
        <w:ind w:left="10" w:right="52" w:hanging="10"/>
        <w:jc w:val="center"/>
      </w:pPr>
      <w:r>
        <w:rPr>
          <w:sz w:val="16"/>
        </w:rPr>
        <w:t>Źródło: http://www.greenthinking.pl/188/ (dostęp: 04.04.2018).</w:t>
      </w:r>
    </w:p>
    <w:p w14:paraId="0E346D30" w14:textId="77777777" w:rsidR="008B0185" w:rsidRDefault="007A05AC">
      <w:pPr>
        <w:ind w:left="-15" w:right="37" w:firstLine="0"/>
      </w:pPr>
      <w:proofErr w:type="spellStart"/>
      <w:r>
        <w:t>Nørrebrohall</w:t>
      </w:r>
      <w:proofErr w:type="spellEnd"/>
      <w:r>
        <w:t>. Poprzez przeniesienie</w:t>
      </w:r>
      <w:r>
        <w:t xml:space="preserve"> funkcji na zewnątrz osiągnięto możliwość integrowania się mieszkańców, a nawet przechodniów poprzez gry i zabawy. Posadzka została pokryta specjalnym  materiałem, który zapewnia dobrą przyczepność obuwia</w:t>
      </w:r>
      <w:r>
        <w:rPr>
          <w:sz w:val="17"/>
          <w:vertAlign w:val="superscript"/>
        </w:rPr>
        <w:footnoteReference w:id="5"/>
      </w:r>
      <w:r>
        <w:t xml:space="preserve">, umożliwia grę w piłkę, jazdę na rolkach, a zimą </w:t>
      </w:r>
      <w:r>
        <w:t>na łyżwach.  Niezwykle ciekawy efekt trójwymiarowości uzyskano poprzez przeciągnięcie nawierzchni na elewacje sąsiednich obiektów.  Żywe kolory nadają miejscu indywidualny charakter i podkreślają sportową funkcję placu. W weekendy na czerwonym skwerze  odb</w:t>
      </w:r>
      <w:r>
        <w:t>ywają się różne wydarzenia, które przyciągają wiele osób z poza Kopenhagi. Organizowane są filmowe i sportowe pokazy na świeżym powietrzu. W północnej części placu znajduje się boisko do gry w kosza i centrum fitness. Ruch samochodowy został znacznie ogran</w:t>
      </w:r>
      <w:r>
        <w:t>iczony.</w:t>
      </w:r>
    </w:p>
    <w:p w14:paraId="0C4D7839" w14:textId="77777777" w:rsidR="008B0185" w:rsidRDefault="007A05AC">
      <w:pPr>
        <w:ind w:left="-15" w:right="37"/>
      </w:pPr>
      <w:r>
        <w:t>Czarny plac jest bardziej klasyczną i spokojną przestrzenią miejską. Pełni funkcję miejsca spotkań. Mieszkańcy mogą korzystać z postawionych na stałe stolików do szachów i gier planszowych. Znajdziemy tam norweski stojak rowerowy z ogólnie dostępną</w:t>
      </w:r>
      <w:r>
        <w:t xml:space="preserve"> pompką, japońską ośmiornicę na placu zabaw, amerykańską lampę, chińskie drzewka palmowe, a drogę na Czarny Rynek wskazuje duży neon z Kataru. Tak jak na Placu Czerwonym, tu również </w:t>
      </w:r>
      <w:r>
        <w:lastRenderedPageBreak/>
        <w:t>postawiono na wzajemne przenikanie się kultur. Betonowa posadzka z białymi</w:t>
      </w:r>
      <w:r>
        <w:t xml:space="preserve"> pasami tworzy graficzny wzór. Poszczególne przedmioty zostały jakby wrzucone na plac, co skutkowało odgięciem linii, które omijają napotkane obiekty. Całość tworzy żywy i dynamiczny obraz miejsca. Ten niezwykle prosty zabieg jest bardzo efektowny. Na półn</w:t>
      </w:r>
      <w:r>
        <w:t>ocnej części placu znajduje się niewielkie wzniesienie, które urozmaica krajobraz miejsca oraz stanowi interesujący punkt widokowy.</w:t>
      </w:r>
    </w:p>
    <w:p w14:paraId="1309D583" w14:textId="77777777" w:rsidR="008B0185" w:rsidRDefault="007A05AC">
      <w:pPr>
        <w:ind w:left="-15" w:right="37"/>
      </w:pPr>
      <w:r>
        <w:t>Zielony Park został zaprojektowany jako obszar trawiasty z krętymi ścieżkami i niewielkimi wzgórzami. Przeznaczony jest szcz</w:t>
      </w:r>
      <w:r>
        <w:t xml:space="preserve">ególnie dla rodzin z dziećmi, na pikniki, spacery z psem i sporty drużynowe. Stanowi też odpowiedź na niezadowolenie mieszkańców z powodu zabetonowywania dzielnicy. </w:t>
      </w:r>
    </w:p>
    <w:p w14:paraId="7B50BBE8" w14:textId="77777777" w:rsidR="008B0185" w:rsidRDefault="007A05AC">
      <w:pPr>
        <w:ind w:left="-15" w:right="37"/>
      </w:pPr>
      <w:r>
        <w:t>Władze miasta oczekiwały projektu innowacyjnego, wskazującego drogę rozwoju innym inwestyc</w:t>
      </w:r>
      <w:r>
        <w:t xml:space="preserve">jom i obszarom borykającym się z podobnymi problemami wykluczenia i segregacji społecznej. </w:t>
      </w:r>
      <w:proofErr w:type="spellStart"/>
      <w:r>
        <w:t>Superkilen</w:t>
      </w:r>
      <w:proofErr w:type="spellEnd"/>
      <w:r>
        <w:t xml:space="preserve"> został wyróżniony wieloma prestiżowymi nagrodami. Znalazł się w finale konkursu Europejskiej Nagrody im. </w:t>
      </w:r>
      <w:proofErr w:type="spellStart"/>
      <w:r>
        <w:t>Miesa</w:t>
      </w:r>
      <w:proofErr w:type="spellEnd"/>
      <w:r>
        <w:t xml:space="preserve"> van der </w:t>
      </w:r>
      <w:proofErr w:type="spellStart"/>
      <w:r>
        <w:t>Rohe</w:t>
      </w:r>
      <w:proofErr w:type="spellEnd"/>
      <w:r>
        <w:t xml:space="preserve"> 2013 roku</w:t>
      </w:r>
      <w:r>
        <w:rPr>
          <w:sz w:val="17"/>
          <w:vertAlign w:val="superscript"/>
        </w:rPr>
        <w:footnoteReference w:id="6"/>
      </w:r>
      <w:r>
        <w:t xml:space="preserve">, otrzymał nagrodę </w:t>
      </w:r>
      <w:r>
        <w:t xml:space="preserve">AIA </w:t>
      </w:r>
      <w:proofErr w:type="spellStart"/>
      <w:r>
        <w:t>Institute</w:t>
      </w:r>
      <w:proofErr w:type="spellEnd"/>
      <w:r>
        <w:t xml:space="preserve"> Honor </w:t>
      </w:r>
      <w:proofErr w:type="spellStart"/>
      <w:r>
        <w:t>Award</w:t>
      </w:r>
      <w:proofErr w:type="spellEnd"/>
      <w:r>
        <w:t xml:space="preserve"> for </w:t>
      </w:r>
      <w:proofErr w:type="spellStart"/>
      <w:r>
        <w:t>Regional</w:t>
      </w:r>
      <w:proofErr w:type="spellEnd"/>
      <w:r>
        <w:t xml:space="preserve"> &amp; Urban Design, </w:t>
      </w:r>
      <w:proofErr w:type="spellStart"/>
      <w:r>
        <w:t>Designs</w:t>
      </w:r>
      <w:proofErr w:type="spellEnd"/>
      <w:r>
        <w:t xml:space="preserve"> of the </w:t>
      </w:r>
      <w:proofErr w:type="spellStart"/>
      <w:r>
        <w:t>Year</w:t>
      </w:r>
      <w:proofErr w:type="spellEnd"/>
      <w:r>
        <w:t xml:space="preserve"> 2013 przyznawaną przez Muzeum Designu w Londynie oraz </w:t>
      </w:r>
      <w:proofErr w:type="spellStart"/>
      <w:r>
        <w:t>Agha</w:t>
      </w:r>
      <w:proofErr w:type="spellEnd"/>
      <w:r>
        <w:t xml:space="preserve"> Khan dla architektury w 2016 roku</w:t>
      </w:r>
      <w:r>
        <w:rPr>
          <w:sz w:val="17"/>
          <w:vertAlign w:val="superscript"/>
        </w:rPr>
        <w:footnoteReference w:id="7"/>
      </w:r>
      <w:r>
        <w:t>.</w:t>
      </w:r>
    </w:p>
    <w:p w14:paraId="6345B1C2" w14:textId="77777777" w:rsidR="008B0185" w:rsidRDefault="007A05AC">
      <w:pPr>
        <w:ind w:left="-15" w:right="37"/>
      </w:pPr>
      <w:r>
        <w:t xml:space="preserve">Działanie urbanistyczne w </w:t>
      </w:r>
      <w:proofErr w:type="spellStart"/>
      <w:r>
        <w:t>Nørrebro</w:t>
      </w:r>
      <w:proofErr w:type="spellEnd"/>
      <w:r>
        <w:t xml:space="preserve"> stało się dziś wizytówką najlepszych rozwiązań w z</w:t>
      </w:r>
      <w:r>
        <w:t xml:space="preserve">akresie promowania integracji międzyludzkich. Ludzie powinni być zachęcani do wyjścia z ich strefy bezpieczeństwa, rutynowych schematów, do innych form aktywności i poznania obcych. Praktyka ta zmniejsza zjawisko etykietowania odmiennych </w:t>
      </w:r>
      <w:proofErr w:type="spellStart"/>
      <w:r>
        <w:t>zachowań</w:t>
      </w:r>
      <w:proofErr w:type="spellEnd"/>
      <w:r>
        <w:t xml:space="preserve"> wynikając</w:t>
      </w:r>
      <w:r>
        <w:t xml:space="preserve">ych z innej kultury jako wrogich. Dzielnica  </w:t>
      </w:r>
      <w:proofErr w:type="spellStart"/>
      <w:r>
        <w:t>Nørrebro</w:t>
      </w:r>
      <w:proofErr w:type="spellEnd"/>
      <w:r>
        <w:t xml:space="preserve"> odżyła. Zmniejszył się wskaźnik przestępczości. Mieszkańcy chętnie poznają nowe kultury. Szanują się nawzajem. Granice pomiędzy narodowościami zostały przełamane, przy jednoczesnym zachowaniu odrębności</w:t>
      </w:r>
      <w:r>
        <w:t xml:space="preserve"> każdej nacji</w:t>
      </w:r>
      <w:r>
        <w:rPr>
          <w:sz w:val="17"/>
          <w:vertAlign w:val="superscript"/>
        </w:rPr>
        <w:footnoteReference w:id="8"/>
      </w:r>
      <w:r>
        <w:t xml:space="preserve">. Przestrzeń jest chętnie odwiedzana przez wszystkie grupy społeczne. </w:t>
      </w:r>
      <w:proofErr w:type="spellStart"/>
      <w:r>
        <w:t>Superkilen</w:t>
      </w:r>
      <w:proofErr w:type="spellEnd"/>
      <w:r>
        <w:t xml:space="preserve"> nie został zaprojektowanym do z góry określonego wzorca czy schematu. Jest to obszar, w którym na pierwszym miejscu postawiono na funkcjonalność i cierpliwie wy</w:t>
      </w:r>
      <w:r>
        <w:t xml:space="preserve">słuchiwano i analizowano wszelkie rady </w:t>
      </w:r>
      <w:proofErr w:type="spellStart"/>
      <w:r>
        <w:t>partycypantów</w:t>
      </w:r>
      <w:proofErr w:type="spellEnd"/>
      <w:r>
        <w:t xml:space="preserve">.  </w:t>
      </w:r>
    </w:p>
    <w:p w14:paraId="03C150B2" w14:textId="77777777" w:rsidR="008B0185" w:rsidRDefault="007A05AC">
      <w:pPr>
        <w:ind w:left="-15" w:right="37"/>
      </w:pPr>
      <w:r>
        <w:t>Kolejną realizacją, która miała znaczący wpływ społeczny, ale również ekonomiczny, czy kulturalny na obszar, w którym ją zaprojektowano był park High Line w Nowym Jorku na Manhattanie. Park znajduje s</w:t>
      </w:r>
      <w:r>
        <w:t>ię około 8 metrów nad ziemią</w:t>
      </w:r>
      <w:r>
        <w:rPr>
          <w:sz w:val="17"/>
          <w:vertAlign w:val="superscript"/>
        </w:rPr>
        <w:footnoteReference w:id="9"/>
      </w:r>
      <w:r>
        <w:t xml:space="preserve">. Powstał na miejscu dawnej linii kolejowej wzdłuż zachodniego brzegu </w:t>
      </w:r>
    </w:p>
    <w:p w14:paraId="2A4181C0" w14:textId="77777777" w:rsidR="008B0185" w:rsidRDefault="007A05AC">
      <w:pPr>
        <w:spacing w:after="170" w:line="259" w:lineRule="auto"/>
        <w:ind w:right="0" w:firstLine="0"/>
        <w:jc w:val="left"/>
      </w:pPr>
      <w:r>
        <w:rPr>
          <w:noProof/>
        </w:rPr>
        <w:lastRenderedPageBreak/>
        <w:drawing>
          <wp:inline distT="0" distB="0" distL="0" distR="0" wp14:anchorId="0ABF56EF" wp14:editId="6976C525">
            <wp:extent cx="4504945" cy="3331464"/>
            <wp:effectExtent l="0" t="0" r="0" b="0"/>
            <wp:docPr id="9355" name="Picture 9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" name="Picture 93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4945" cy="33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685C" w14:textId="77777777" w:rsidR="008B0185" w:rsidRDefault="007A05AC">
      <w:pPr>
        <w:shd w:val="clear" w:color="auto" w:fill="E0E0E0"/>
        <w:spacing w:line="265" w:lineRule="auto"/>
        <w:ind w:left="10" w:hanging="10"/>
        <w:jc w:val="center"/>
      </w:pPr>
      <w:r>
        <w:rPr>
          <w:sz w:val="16"/>
        </w:rPr>
        <w:t xml:space="preserve">Ryc. 4. Działający przejazd kolejowy na High Line.  </w:t>
      </w:r>
    </w:p>
    <w:p w14:paraId="6C7F6171" w14:textId="77777777" w:rsidR="008B0185" w:rsidRDefault="007A05AC">
      <w:pPr>
        <w:shd w:val="clear" w:color="auto" w:fill="E0E0E0"/>
        <w:spacing w:after="499" w:line="265" w:lineRule="auto"/>
        <w:ind w:left="10" w:hanging="10"/>
        <w:jc w:val="center"/>
      </w:pPr>
      <w:r>
        <w:rPr>
          <w:sz w:val="16"/>
        </w:rPr>
        <w:t>Źródło: http://www.greenthinking.pl/188/ (dostęp: 04.04.2018)</w:t>
      </w:r>
    </w:p>
    <w:p w14:paraId="6DCA2BF3" w14:textId="77777777" w:rsidR="008B0185" w:rsidRDefault="007A05AC">
      <w:pPr>
        <w:ind w:left="-15" w:right="37" w:firstLine="0"/>
      </w:pPr>
      <w:r>
        <w:t>Manhattanu. Ma 2,5 kilometrów długości i kilka metrów szerokości</w:t>
      </w:r>
      <w:r>
        <w:rPr>
          <w:sz w:val="17"/>
          <w:vertAlign w:val="superscript"/>
        </w:rPr>
        <w:footnoteReference w:id="10"/>
      </w:r>
      <w:r>
        <w:t>. Powstał z inicjatywy grupy „Przyjaciół High Line”</w:t>
      </w:r>
      <w:r>
        <w:rPr>
          <w:sz w:val="17"/>
          <w:vertAlign w:val="superscript"/>
        </w:rPr>
        <w:t>15</w:t>
      </w:r>
      <w:r>
        <w:t>, która zajmuje się ochroną dawnych estakad kolejowych przed rozbiórką. Pra</w:t>
      </w:r>
      <w:r>
        <w:t>ce rozpoczęto w 2006 roku</w:t>
      </w:r>
      <w:r>
        <w:rPr>
          <w:sz w:val="17"/>
          <w:vertAlign w:val="superscript"/>
        </w:rPr>
        <w:footnoteReference w:id="11"/>
      </w:r>
      <w:r>
        <w:t>, w 2009 otwarto pierwszą część założenia</w:t>
      </w:r>
      <w:r>
        <w:rPr>
          <w:sz w:val="17"/>
          <w:vertAlign w:val="superscript"/>
        </w:rPr>
        <w:footnoteReference w:id="12"/>
      </w:r>
      <w:r>
        <w:t>, a w 2011 drugą</w:t>
      </w:r>
      <w:r>
        <w:rPr>
          <w:sz w:val="17"/>
          <w:vertAlign w:val="superscript"/>
        </w:rPr>
        <w:footnoteReference w:id="13"/>
      </w:r>
      <w:r>
        <w:t>. Inwestycja kosztowała około  260 milionów dolarów</w:t>
      </w:r>
      <w:r>
        <w:rPr>
          <w:sz w:val="17"/>
          <w:vertAlign w:val="superscript"/>
        </w:rPr>
        <w:footnoteReference w:id="14"/>
      </w:r>
      <w:r>
        <w:t xml:space="preserve">. Środki na sfinansowanie projektu uzyskano z budżetu miasta oraz z datków mieszkańców Nowego Yorku. </w:t>
      </w:r>
    </w:p>
    <w:p w14:paraId="00050BE2" w14:textId="77777777" w:rsidR="008B0185" w:rsidRDefault="007A05AC">
      <w:pPr>
        <w:spacing w:after="170" w:line="259" w:lineRule="auto"/>
        <w:ind w:right="0" w:firstLine="0"/>
        <w:jc w:val="left"/>
      </w:pPr>
      <w:r>
        <w:rPr>
          <w:noProof/>
        </w:rPr>
        <w:lastRenderedPageBreak/>
        <w:drawing>
          <wp:inline distT="0" distB="0" distL="0" distR="0" wp14:anchorId="0C7610BC" wp14:editId="286CAC2E">
            <wp:extent cx="4501897" cy="3331464"/>
            <wp:effectExtent l="0" t="0" r="0" b="0"/>
            <wp:docPr id="9356" name="Picture 9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" name="Picture 93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1897" cy="33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814A" w14:textId="77777777" w:rsidR="008B0185" w:rsidRDefault="007A05AC">
      <w:pPr>
        <w:shd w:val="clear" w:color="auto" w:fill="E0E0E0"/>
        <w:spacing w:line="265" w:lineRule="auto"/>
        <w:ind w:left="10" w:right="52" w:hanging="10"/>
        <w:jc w:val="center"/>
      </w:pPr>
      <w:r>
        <w:rPr>
          <w:sz w:val="16"/>
        </w:rPr>
        <w:t>Ryc. 5. Hig</w:t>
      </w:r>
      <w:r>
        <w:rPr>
          <w:sz w:val="16"/>
        </w:rPr>
        <w:t xml:space="preserve">h Line po zamknięciu przejazdu kolejowego, dzika roślinność.  </w:t>
      </w:r>
    </w:p>
    <w:p w14:paraId="545DE9D2" w14:textId="77777777" w:rsidR="008B0185" w:rsidRDefault="007A05AC">
      <w:pPr>
        <w:shd w:val="clear" w:color="auto" w:fill="E0E0E0"/>
        <w:spacing w:after="499" w:line="265" w:lineRule="auto"/>
        <w:ind w:left="10" w:right="52" w:hanging="10"/>
        <w:jc w:val="center"/>
      </w:pPr>
      <w:r>
        <w:rPr>
          <w:sz w:val="16"/>
        </w:rPr>
        <w:t>Źródło: http://www.greenthinking.pl/188/ (dostęp: 04.04.2018)</w:t>
      </w:r>
    </w:p>
    <w:p w14:paraId="31E0013F" w14:textId="77777777" w:rsidR="008B0185" w:rsidRDefault="007A05AC">
      <w:pPr>
        <w:ind w:left="-15" w:right="37"/>
      </w:pPr>
      <w:r>
        <w:t>Nadziemna linia kolejowa zbudowana w latach 30. XX</w:t>
      </w:r>
      <w:r>
        <w:rPr>
          <w:sz w:val="17"/>
          <w:vertAlign w:val="superscript"/>
        </w:rPr>
        <w:footnoteReference w:id="15"/>
      </w:r>
      <w:r>
        <w:t xml:space="preserve"> wieku zostawiła wi</w:t>
      </w:r>
      <w:r>
        <w:t>doczne piętno w krajobrazie miasta. Inwestycja poprawiała bezpieczeństwo mieszkańców poruszających się przez (już w tamtych czasach) bardzo zatłoczoną 10. aleję, ale bezkolizyjne rozwiązanie podniesienia torowiska na stalowej konstrukcji nośnej odcisnęło p</w:t>
      </w:r>
      <w:r>
        <w:t>iętno na wyglądzie tego obszaru. Rozwiązanie cieszyło się uznaniem wśród mieszkańców, lecz z czasem ruch kolejowy na tym odcinku zamierał, aż w latach 80. XX wieku nie jeździły już tamtędy żadne pociągi</w:t>
      </w:r>
      <w:r>
        <w:rPr>
          <w:sz w:val="17"/>
          <w:vertAlign w:val="superscript"/>
        </w:rPr>
        <w:footnoteReference w:id="16"/>
      </w:r>
      <w:r>
        <w:t xml:space="preserve">, a torowisko uległo zniszczeniu. </w:t>
      </w:r>
    </w:p>
    <w:p w14:paraId="799C8D33" w14:textId="77777777" w:rsidR="008B0185" w:rsidRDefault="007A05AC">
      <w:pPr>
        <w:ind w:left="-15" w:right="37"/>
      </w:pPr>
      <w:r>
        <w:t>W 2003 roku grupa</w:t>
      </w:r>
      <w:r>
        <w:t xml:space="preserve"> „Przyjaciół High Line” ogłosiła konkurs na zrewitalizowanie dawnej linii kolejowej</w:t>
      </w:r>
      <w:r>
        <w:rPr>
          <w:sz w:val="17"/>
          <w:vertAlign w:val="superscript"/>
        </w:rPr>
        <w:footnoteReference w:id="17"/>
      </w:r>
      <w:r>
        <w:t xml:space="preserve">. Do realizacji wyłoniono projekt  zespołu Field Operations i </w:t>
      </w:r>
      <w:proofErr w:type="spellStart"/>
      <w:r>
        <w:t>Diller</w:t>
      </w:r>
      <w:proofErr w:type="spellEnd"/>
      <w:r>
        <w:t xml:space="preserve"> </w:t>
      </w:r>
      <w:proofErr w:type="spellStart"/>
      <w:r>
        <w:t>Scofidio+Renfro</w:t>
      </w:r>
      <w:proofErr w:type="spellEnd"/>
      <w:r>
        <w:t>, który pozostawiał dawne tory kolejowe i wpisywał je do nowej koncepcji torowiska</w:t>
      </w:r>
      <w:r>
        <w:rPr>
          <w:sz w:val="17"/>
          <w:vertAlign w:val="superscript"/>
        </w:rPr>
        <w:footnoteReference w:id="18"/>
      </w:r>
      <w:r>
        <w:t>. K</w:t>
      </w:r>
      <w:r>
        <w:t xml:space="preserve">oncepcja liniowego parku zachowywała pierwotną, komunikacyjną rolę tej </w:t>
      </w:r>
      <w:r>
        <w:lastRenderedPageBreak/>
        <w:t>przestrzeni. W związku z intensywnym rozwojem urbanistyki  w pobliżu 10. alei nie było żadnych ogólnodostępnych terenów zielonych, więc nowy projekt był istotnym elementem w zaspokojeni</w:t>
      </w:r>
      <w:r>
        <w:t xml:space="preserve">u potrzeb mieszkańców. </w:t>
      </w:r>
    </w:p>
    <w:p w14:paraId="05E1CA07" w14:textId="77777777" w:rsidR="008B0185" w:rsidRDefault="007A05AC">
      <w:pPr>
        <w:ind w:left="-15" w:right="37"/>
      </w:pPr>
      <w:r>
        <w:t>Pomysł na rewitalizację estakady obejmował stworzenie parku liniowego, promenady, na której mieszkańcy i turyści mogliby znaleźć chwilę odpoczynku i relaksu od zgiełku miasta, ale wciąż znajdując się w jego ścisłym centrum.</w:t>
      </w:r>
    </w:p>
    <w:p w14:paraId="4210229E" w14:textId="77777777" w:rsidR="008B0185" w:rsidRDefault="007A05AC">
      <w:pPr>
        <w:ind w:left="-15" w:right="37"/>
      </w:pPr>
      <w:r>
        <w:t>Geometri</w:t>
      </w:r>
      <w:r>
        <w:t>a ciągu pieszego odwołuje się do rozjazdów kolejowych. Ma charakterystyczne skosy i promienie, co wielokrotnie zmienia kąt poruszania się pieszych i nakierowuje ich wzrok na różne otwarcia i kierunki widokowe na dynamiczny krajobraz Nowego Jorku, rzekę Hud</w:t>
      </w:r>
      <w:r>
        <w:t xml:space="preserve">son, czy bujną roślinność torowiska. W charakterystycznych punktach estakady powstały większe obszary z ławkami, np. w odnogach bocznic kolejowych i w podcieniach starych hal magazynowych. High Line zachowuje specyficzne kolory miejsca (miedzie, szarości, </w:t>
      </w:r>
      <w:r>
        <w:t xml:space="preserve">brązy, czernie), które świetnie współgrają z intensywną zielenią roślin. </w:t>
      </w:r>
    </w:p>
    <w:p w14:paraId="000CEA75" w14:textId="77777777" w:rsidR="008B0185" w:rsidRDefault="007A05AC">
      <w:pPr>
        <w:ind w:left="-15" w:right="37"/>
      </w:pPr>
      <w:r>
        <w:t>Zieleń pokrywa około 50% powierzchni High Line</w:t>
      </w:r>
      <w:r>
        <w:rPr>
          <w:sz w:val="17"/>
          <w:vertAlign w:val="superscript"/>
        </w:rPr>
        <w:footnoteReference w:id="19"/>
      </w:r>
      <w:r>
        <w:t>. Trafnym pomysłem okazało się wykorzystanie takich samych gatunków bylin, jakie zastano na terenie inwestycji. Zachowano większość ro</w:t>
      </w:r>
      <w:r>
        <w:t>ślin, które przez lata wyrosły na torowisku samoistnie. Zasadzono również nowe gatunki biologiczne, aby uzupełnić szatę graficzną miejsca. Wybrano szczepy odporne na niekorzystne warunki wzrostu: silny wiatr, intensywne nasłonecznienie oraz małą ilość mięk</w:t>
      </w:r>
      <w:r>
        <w:t>kiej gleby. Udało się tak zoptymalizować wysiew roślin i dobór rodzajów bylin, aby w chwili gdy jedne rośliny zamierają, inne budziły się do życia. Utworzono dynamiczny cykl wegetacji.  Na całej długości parku rozciągają się zachowane szyny kolejowe, które</w:t>
      </w:r>
      <w:r>
        <w:t xml:space="preserve"> przypominają przechodniom dawną historię tego miejsca. Ławki są zintegrowane z płaszczyzną ruchu. Wydaje się, że wyrastają z betonowych płyt tworzących posadzkę. Zastosowano stal </w:t>
      </w:r>
      <w:proofErr w:type="spellStart"/>
      <w:r>
        <w:t>kortenowską</w:t>
      </w:r>
      <w:proofErr w:type="spellEnd"/>
      <w:r>
        <w:t xml:space="preserve">, naturalnie patynowane drewno egzotyczne, beton, żelbet, żwir i </w:t>
      </w:r>
      <w:r>
        <w:t>łamany kamień. Tworzywa te odwzorowują dawne dominanty kolorystyczne i dobrze współgrają ze sobą, tworząc spójny charakter miejsca. Przez surowe materiały i pozornie chaotyczny układ roślin przestrzeń nie straciła swojej dzikości. Do oświetlenia parku wyko</w:t>
      </w:r>
      <w:r>
        <w:t>rzystano światła LED, które znajdują się nie tylko na ścieżkach ruchu, ale również wśród zieleni i przy drobnych elementach architektonicznych. Efekt poświaty nad parkiem został zminimalizowany poprzez montowanie źródeł oświetlenia przy płaszczyźnie ruchu,</w:t>
      </w:r>
      <w:r>
        <w:t xml:space="preserve"> np. w dolnych elementach ławek. Ciągi piesze tworzą indywidualnie zaprojektowane, betonowe kształtki, które nawiązują do tradycyjnych elementów torów kolejowych oraz tworzą interesujący efekt rozpływania się na krawędzi z zielenią. Specjalnie zastosowane </w:t>
      </w:r>
      <w:r>
        <w:t xml:space="preserve">spoiny </w:t>
      </w:r>
    </w:p>
    <w:p w14:paraId="0A8B42EE" w14:textId="77777777" w:rsidR="008B0185" w:rsidRDefault="007A05AC">
      <w:pPr>
        <w:spacing w:after="170" w:line="259" w:lineRule="auto"/>
        <w:ind w:right="0" w:firstLine="0"/>
        <w:jc w:val="left"/>
      </w:pPr>
      <w:r>
        <w:rPr>
          <w:noProof/>
        </w:rPr>
        <w:lastRenderedPageBreak/>
        <w:drawing>
          <wp:inline distT="0" distB="0" distL="0" distR="0" wp14:anchorId="6C1616CF" wp14:editId="2675E296">
            <wp:extent cx="4501897" cy="2907792"/>
            <wp:effectExtent l="0" t="0" r="0" b="0"/>
            <wp:docPr id="9357" name="Picture 9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" name="Picture 93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1897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4F53" w14:textId="77777777" w:rsidR="008B0185" w:rsidRDefault="007A05AC">
      <w:pPr>
        <w:shd w:val="clear" w:color="auto" w:fill="E0E0E0"/>
        <w:spacing w:line="265" w:lineRule="auto"/>
        <w:ind w:left="10" w:right="52" w:hanging="10"/>
        <w:jc w:val="center"/>
      </w:pPr>
      <w:r>
        <w:rPr>
          <w:sz w:val="16"/>
        </w:rPr>
        <w:t xml:space="preserve">Ryc. 6. Park High Line.  </w:t>
      </w:r>
    </w:p>
    <w:p w14:paraId="7D56E062" w14:textId="77777777" w:rsidR="008B0185" w:rsidRDefault="007A05AC">
      <w:pPr>
        <w:shd w:val="clear" w:color="auto" w:fill="E0E0E0"/>
        <w:spacing w:after="333" w:line="265" w:lineRule="auto"/>
        <w:ind w:left="10" w:right="52" w:hanging="10"/>
        <w:jc w:val="center"/>
      </w:pPr>
      <w:r>
        <w:rPr>
          <w:sz w:val="16"/>
        </w:rPr>
        <w:t>Źródło: http://www.greenthinking.pl/188/ (dostęp: 04.04.2018)</w:t>
      </w:r>
    </w:p>
    <w:p w14:paraId="08EB174D" w14:textId="77777777" w:rsidR="008B0185" w:rsidRDefault="007A05AC">
      <w:pPr>
        <w:ind w:left="-15" w:right="37" w:firstLine="0"/>
      </w:pPr>
      <w:r>
        <w:t>pomiędzy elementami umożliwiają wodzie szybki odpływ z powierzchni parku do głębszych warstw gruntu. Do nawadniania High Line prawie w całości używa się wody opadowej. Nawierzchnię można w stosunkowo łatwy sposób zdjąć, aby sprawdzać stan techniczny warstw</w:t>
      </w:r>
      <w:r>
        <w:t xml:space="preserve"> izolacyjnych.</w:t>
      </w:r>
    </w:p>
    <w:p w14:paraId="3DE996A7" w14:textId="77777777" w:rsidR="008B0185" w:rsidRDefault="007A05AC">
      <w:pPr>
        <w:spacing w:after="0"/>
        <w:ind w:left="-15" w:right="0" w:firstLine="340"/>
        <w:jc w:val="left"/>
      </w:pPr>
      <w:r>
        <w:t>Park High Line przystosowano do potrzeb osób niepełnosprawnych. Zainstalowano sześć dźwigów osobowych</w:t>
      </w:r>
      <w:r>
        <w:rPr>
          <w:sz w:val="17"/>
          <w:vertAlign w:val="superscript"/>
        </w:rPr>
        <w:footnoteReference w:id="20"/>
      </w:r>
      <w:r>
        <w:t>. Ciągi komunikacyjne są odpowiednio sze</w:t>
      </w:r>
      <w:r>
        <w:t>rokie, a fragmenty założenia o zróżnicowanych poziomach połączono łagodnymi rampami, które wpisują się w kompozycję całej przestrzeni.</w:t>
      </w:r>
    </w:p>
    <w:p w14:paraId="4545488E" w14:textId="77777777" w:rsidR="008B0185" w:rsidRDefault="007A05AC">
      <w:pPr>
        <w:ind w:left="-15" w:right="37"/>
      </w:pPr>
      <w:r>
        <w:t>Projektanci ocenili, że inwestycja przyciągnie ok. 400 000 turystów rocznie i zwiększy wpływy z podatków o 286 milionów d</w:t>
      </w:r>
      <w:r>
        <w:t>olarów w ciągu 20 lat. Jednak park okazał się jedną z najbardziej udanych transformacji przestrzeni publicznych w Stanach Zjednoczonych i przyciąga 10 razy więcej osób niż zakładano, czyli 4 miliony odwiedzających w ciągu roku, a także zwiększy wpływ z pod</w:t>
      </w:r>
      <w:r>
        <w:t>atków o prawie 1 miliard dolarów</w:t>
      </w:r>
      <w:r>
        <w:rPr>
          <w:sz w:val="17"/>
          <w:vertAlign w:val="superscript"/>
        </w:rPr>
        <w:footnoteReference w:id="21"/>
      </w:r>
      <w:r>
        <w:rPr>
          <w:sz w:val="17"/>
          <w:vertAlign w:val="superscript"/>
        </w:rPr>
        <w:footnoteReference w:id="22"/>
      </w:r>
      <w:r>
        <w:t xml:space="preserve">. Rewitalizacja High Line </w:t>
      </w:r>
      <w:r>
        <w:lastRenderedPageBreak/>
        <w:t xml:space="preserve">wyraźnie oddziałuje na okoliczną przestrzeń. Budynki przy parku są teraz bardzo atrakcyjne. Ich wartość ciągle rośnie. </w:t>
      </w:r>
    </w:p>
    <w:p w14:paraId="0DFD38CB" w14:textId="77777777" w:rsidR="008B0185" w:rsidRDefault="007A05AC">
      <w:pPr>
        <w:spacing w:after="0"/>
        <w:ind w:left="-15" w:right="0" w:firstLine="0"/>
        <w:jc w:val="left"/>
      </w:pPr>
      <w:r>
        <w:t>Apartamenty z widokiem na estakadę osiągają cenę najmu ponad 22 000 dolaró</w:t>
      </w:r>
      <w:r>
        <w:t>w za miesiąc</w:t>
      </w:r>
      <w:r>
        <w:rPr>
          <w:sz w:val="17"/>
          <w:vertAlign w:val="superscript"/>
        </w:rPr>
        <w:footnoteReference w:id="23"/>
      </w:r>
      <w:r>
        <w:t xml:space="preserve">. Pojawiła się nowa, interesująca architektura, która nawiązuje do stylu parku. Nieliczne, wolne działki przy High Line zostały zabudowane. Bardzo charakterystyczny jest nowy apartamentowiec HL23, w którym wyeksponowano stalową konstrukcję i </w:t>
      </w:r>
      <w:r>
        <w:t>użyto metalowych płyt elewacyjnych. Dziś dzielnica jest pełna galerii, loftów, centrów handlowych i planowane są kolejne inwestycje.</w:t>
      </w:r>
    </w:p>
    <w:p w14:paraId="467888FB" w14:textId="77777777" w:rsidR="008B0185" w:rsidRDefault="007A05AC">
      <w:pPr>
        <w:ind w:left="-15" w:right="37"/>
      </w:pPr>
      <w:r>
        <w:t>Miasto staje się przyjazne dla ludzi dzięki przestrzeniom otwartym i parkom. Jednak w metropoliach istnieje ciągła walka mi</w:t>
      </w:r>
      <w:r>
        <w:t xml:space="preserve">ędzy maksymalizacją zysków i minimalizacją potencjalnych strat na tereny publiczne, niezabudowane. Frederick Law </w:t>
      </w:r>
      <w:proofErr w:type="spellStart"/>
      <w:r>
        <w:t>Olmsted</w:t>
      </w:r>
      <w:proofErr w:type="spellEnd"/>
      <w:r>
        <w:t>, architekt krajobrazu, projektant Central Park podkreślał duże znaczenie przestrzeni zielonych, które dają wytchnieniem od zgiełku ulic</w:t>
      </w:r>
      <w:r>
        <w:t xml:space="preserve"> pod warunkiem oddzielenia ich od miasta roślinnością. Parki powinny być jednocześnie w mieście i poza miastem, czyli muszą być blisko największych skupisk ludzi, mieć zapewnioną dogodną komunikację, przy jednoczesnym odseparowaniu od niedogodności miasta,</w:t>
      </w:r>
      <w:r>
        <w:t xml:space="preserve"> jakim są np. </w:t>
      </w:r>
      <w:proofErr w:type="spellStart"/>
      <w:r>
        <w:t>chałas</w:t>
      </w:r>
      <w:proofErr w:type="spellEnd"/>
      <w:r>
        <w:t xml:space="preserve"> i spaliny.</w:t>
      </w:r>
    </w:p>
    <w:p w14:paraId="192BD8BB" w14:textId="77777777" w:rsidR="008B0185" w:rsidRDefault="007A05AC">
      <w:pPr>
        <w:spacing w:after="38"/>
        <w:ind w:left="-15" w:right="37"/>
      </w:pPr>
      <w:r>
        <w:t>Za przykładem Nowego Jorku zmierzają kolejne miasta. W Filadelfii  również przekształca się dawną linię kolejową w teren zielony</w:t>
      </w:r>
      <w:r>
        <w:rPr>
          <w:sz w:val="17"/>
          <w:vertAlign w:val="superscript"/>
        </w:rPr>
        <w:footnoteReference w:id="24"/>
      </w:r>
      <w:r>
        <w:t>. W Chicago otworzono najdłuższy park liniowy w Stanach Zjednoczonych o długości 4,3 km nazywa</w:t>
      </w:r>
      <w:r>
        <w:t xml:space="preserve">ny Szlakiem  </w:t>
      </w:r>
      <w:proofErr w:type="spellStart"/>
      <w:r>
        <w:t>Bloomingdale</w:t>
      </w:r>
      <w:proofErr w:type="spellEnd"/>
      <w:r>
        <w:t xml:space="preserve">, który łączy większe parki i sieci szlaków o nazwie </w:t>
      </w:r>
      <w:r>
        <w:rPr>
          <w:i/>
        </w:rPr>
        <w:t>The 606</w:t>
      </w:r>
      <w:r>
        <w:rPr>
          <w:sz w:val="17"/>
          <w:vertAlign w:val="superscript"/>
        </w:rPr>
        <w:footnoteReference w:id="25"/>
      </w:r>
      <w:r>
        <w:t>. W Seulu w 2017 roku otworzono park na podwyższonej jezdni zaprojektowany przez biuro MVRDV</w:t>
      </w:r>
      <w:r>
        <w:rPr>
          <w:sz w:val="17"/>
          <w:vertAlign w:val="superscript"/>
        </w:rPr>
        <w:footnoteReference w:id="26"/>
      </w:r>
      <w:r>
        <w:rPr>
          <w:sz w:val="17"/>
          <w:vertAlign w:val="superscript"/>
        </w:rPr>
        <w:footnoteReference w:id="27"/>
      </w:r>
      <w:r>
        <w:t>.</w:t>
      </w:r>
    </w:p>
    <w:p w14:paraId="422645B7" w14:textId="77777777" w:rsidR="008B0185" w:rsidRDefault="007A05AC">
      <w:pPr>
        <w:ind w:left="-15" w:right="37"/>
      </w:pPr>
      <w:r>
        <w:t>Co 8 sekund rodzi się nowa osoba na świecie, co 11 sekund ktoś inny umi</w:t>
      </w:r>
      <w:r>
        <w:t>era. Z roku na rok jest nas coraz więcej. W 2011 roku odnotowano 7 bilionów ludzi i szacuje się, że w 2025 roku liczba ta zwiększy się o kolejny bilion</w:t>
      </w:r>
      <w:r>
        <w:rPr>
          <w:sz w:val="17"/>
          <w:vertAlign w:val="superscript"/>
        </w:rPr>
        <w:footnoteReference w:id="28"/>
      </w:r>
      <w:r>
        <w:t>. Biorąc pod uwagę fakt, że ponad 54% obywateli świata mieszka w miastach</w:t>
      </w:r>
      <w:r>
        <w:rPr>
          <w:sz w:val="17"/>
          <w:vertAlign w:val="superscript"/>
        </w:rPr>
        <w:footnoteReference w:id="29"/>
      </w:r>
      <w:r>
        <w:t>, musimy nauczyć się projekt</w:t>
      </w:r>
      <w:r>
        <w:t xml:space="preserve">ować je tak, aby stworzyć miejsce </w:t>
      </w:r>
      <w:r>
        <w:lastRenderedPageBreak/>
        <w:t xml:space="preserve">przyjazne i otwarte dla każdej osoby ludzkiej, roślin, zwierząt. To, w jaki sposób architekci rozlokują </w:t>
      </w:r>
      <w:proofErr w:type="spellStart"/>
      <w:r>
        <w:t>ciagły</w:t>
      </w:r>
      <w:proofErr w:type="spellEnd"/>
      <w:r>
        <w:t xml:space="preserve"> napływ ludzi, będzie mieć znaczenie dla losów kolejnych pokoleń. Nie ma jednej recepty na projektowanie miast, </w:t>
      </w:r>
      <w:r>
        <w:t>ale ich istotnym elementem są przestrzenie otwarte i parki, które powinniśmy projektować ze szczególną troską, ponieważ zachęcają one do interakcji, rozmowy, poznania innych kultur i mogą rozwiązać problem patologii społecznych. Niewiedza jest główną przyc</w:t>
      </w:r>
      <w:r>
        <w:t>zyną nietolerancji i odrzucenia drugiej osoby. Inwestycje architektoniczne, takie jak High Line, poprawiają komfort życia w zatłoczonych miastach. Przynoszą wysokie zyski. Inwestorzy przyciągnięci przez udaną przestrzeń publiczną budują nowe budynki, tworz</w:t>
      </w:r>
      <w:r>
        <w:t xml:space="preserve">ą miejsca pracy co przyczynia się do zmniejszenia ilości ludzi bezrobotnych. </w:t>
      </w:r>
    </w:p>
    <w:p w14:paraId="514D57C5" w14:textId="77777777" w:rsidR="008B0185" w:rsidRDefault="007A05AC">
      <w:pPr>
        <w:spacing w:after="259"/>
        <w:ind w:left="-15" w:right="37"/>
      </w:pPr>
      <w:r>
        <w:t>Architektura ma wpływ na całe społeczeństwo. Większość ludzi nie zdaje sobie sprawy ze znaczenia odpowiedniego planowania i budowania dla rozwoju społecznego i gospodarczego. Dob</w:t>
      </w:r>
      <w:r>
        <w:t>ra infrastruktura łączy ludzi, promuje dobrobyt, ułatwia przemysł, handel. W interesie nas wszystkich jest zapewnienie wysokiego poziomu estetycznego i funkcjonalnego przestrzeni, w której żyjemy. Musimy również myśleć przyszłościowo. To, co dziś jest odpo</w:t>
      </w:r>
      <w:r>
        <w:t>wiednie dla nas, powinno służyć też przyszłym pokoleniom, aby nasza cywilizacja mogła się rozwijać w sposób zrównoważony.</w:t>
      </w:r>
    </w:p>
    <w:p w14:paraId="1F2CF5B0" w14:textId="46A4D908" w:rsidR="008B0185" w:rsidRDefault="007A05AC">
      <w:pPr>
        <w:pStyle w:val="Nagwek1"/>
      </w:pPr>
      <w:r>
        <w:t>Bi</w:t>
      </w:r>
      <w:r w:rsidR="00C328BD">
        <w:t>b</w:t>
      </w:r>
      <w:r>
        <w:t>liografia</w:t>
      </w:r>
    </w:p>
    <w:p w14:paraId="1ADA219A" w14:textId="77777777" w:rsidR="008B0185" w:rsidRDefault="007A05AC">
      <w:pPr>
        <w:numPr>
          <w:ilvl w:val="0"/>
          <w:numId w:val="2"/>
        </w:numPr>
        <w:spacing w:after="0" w:line="293" w:lineRule="auto"/>
        <w:ind w:right="37" w:hanging="397"/>
      </w:pPr>
      <w:r>
        <w:t xml:space="preserve">Chądzyńska E., </w:t>
      </w:r>
      <w:r>
        <w:rPr>
          <w:i/>
        </w:rPr>
        <w:t>Rewitalizacja zdegradowanych przestrzeni miejskich – studia przypadku</w:t>
      </w:r>
      <w:r>
        <w:t>, „Studia Miejskie”, 17/2015.</w:t>
      </w:r>
    </w:p>
    <w:p w14:paraId="3D47E16B" w14:textId="77777777" w:rsidR="008B0185" w:rsidRDefault="007A05AC">
      <w:pPr>
        <w:numPr>
          <w:ilvl w:val="0"/>
          <w:numId w:val="2"/>
        </w:numPr>
        <w:spacing w:after="0" w:line="293" w:lineRule="auto"/>
        <w:ind w:right="37" w:hanging="397"/>
      </w:pPr>
      <w:r>
        <w:t>Gadomsk</w:t>
      </w:r>
      <w:r>
        <w:t xml:space="preserve">a W., Gadomski W., </w:t>
      </w:r>
      <w:r>
        <w:rPr>
          <w:i/>
        </w:rPr>
        <w:t xml:space="preserve">Park High Line – Przestrzeń publiczna jako rezultat rewitalizacji postindustrialnego dziedzictwa zachodniego Manhattanu, </w:t>
      </w:r>
      <w:r>
        <w:t>“przestrzeń i FORMA” 21/2014.</w:t>
      </w:r>
    </w:p>
    <w:p w14:paraId="099FA2DC" w14:textId="77777777" w:rsidR="008B0185" w:rsidRPr="00CF10A5" w:rsidRDefault="007A05AC">
      <w:pPr>
        <w:numPr>
          <w:ilvl w:val="0"/>
          <w:numId w:val="2"/>
        </w:numPr>
        <w:spacing w:after="0"/>
        <w:ind w:right="37" w:hanging="397"/>
        <w:rPr>
          <w:lang w:val="en-GB"/>
        </w:rPr>
      </w:pPr>
      <w:proofErr w:type="spellStart"/>
      <w:r w:rsidRPr="00CF10A5">
        <w:rPr>
          <w:lang w:val="en-GB"/>
        </w:rPr>
        <w:t>Gobster</w:t>
      </w:r>
      <w:proofErr w:type="spellEnd"/>
      <w:r w:rsidRPr="00CF10A5">
        <w:rPr>
          <w:lang w:val="en-GB"/>
        </w:rPr>
        <w:t xml:space="preserve"> P., Sachdeva S., Lindsey G., </w:t>
      </w:r>
      <w:proofErr w:type="spellStart"/>
      <w:r w:rsidRPr="00CF10A5">
        <w:rPr>
          <w:lang w:val="en-GB"/>
        </w:rPr>
        <w:t>Gobster</w:t>
      </w:r>
      <w:proofErr w:type="spellEnd"/>
      <w:r w:rsidRPr="00CF10A5">
        <w:rPr>
          <w:lang w:val="en-GB"/>
        </w:rPr>
        <w:t xml:space="preserve"> P. H., Lindsey G. H., </w:t>
      </w:r>
      <w:r w:rsidRPr="00CF10A5">
        <w:rPr>
          <w:i/>
          <w:lang w:val="en-GB"/>
        </w:rPr>
        <w:t xml:space="preserve">Up on The 606 Understanding the use of a new Elevated Pedestrian and Bicycle Trail In Chicago, Illinois, </w:t>
      </w:r>
      <w:r w:rsidRPr="00CF10A5">
        <w:rPr>
          <w:lang w:val="en-GB"/>
        </w:rPr>
        <w:t>„Transportation Research Record: Journal of the Transportation Research Board”, 2644</w:t>
      </w:r>
      <w:r w:rsidRPr="00CF10A5">
        <w:rPr>
          <w:lang w:val="en-GB"/>
        </w:rPr>
        <w:t>/2017.</w:t>
      </w:r>
    </w:p>
    <w:p w14:paraId="4C37955B" w14:textId="77777777" w:rsidR="008B0185" w:rsidRDefault="007A05AC">
      <w:pPr>
        <w:numPr>
          <w:ilvl w:val="0"/>
          <w:numId w:val="2"/>
        </w:numPr>
        <w:ind w:right="37" w:hanging="397"/>
      </w:pPr>
      <w:r>
        <w:t xml:space="preserve">Jopek D., </w:t>
      </w:r>
      <w:r>
        <w:rPr>
          <w:i/>
        </w:rPr>
        <w:t>High Line – Park Na Torach</w:t>
      </w:r>
      <w:r>
        <w:t>, „przestrzeń i FORMA” 20/2013.</w:t>
      </w:r>
    </w:p>
    <w:p w14:paraId="0B69B02F" w14:textId="77777777" w:rsidR="008B0185" w:rsidRPr="00CF10A5" w:rsidRDefault="007A05AC">
      <w:pPr>
        <w:numPr>
          <w:ilvl w:val="0"/>
          <w:numId w:val="2"/>
        </w:numPr>
        <w:ind w:right="37" w:hanging="397"/>
        <w:rPr>
          <w:lang w:val="en-GB"/>
        </w:rPr>
      </w:pPr>
      <w:r w:rsidRPr="00CF10A5">
        <w:rPr>
          <w:lang w:val="en-GB"/>
        </w:rPr>
        <w:t xml:space="preserve">Joshua D., </w:t>
      </w:r>
      <w:r w:rsidRPr="00CF10A5">
        <w:rPr>
          <w:i/>
          <w:lang w:val="en-GB"/>
        </w:rPr>
        <w:t>Reclaiming The High Line</w:t>
      </w:r>
      <w:r w:rsidRPr="00CF10A5">
        <w:rPr>
          <w:lang w:val="en-GB"/>
        </w:rPr>
        <w:t xml:space="preserve">, Design Trust for Public Space with Friends of the High Line, </w:t>
      </w:r>
      <w:proofErr w:type="spellStart"/>
      <w:r w:rsidRPr="00CF10A5">
        <w:rPr>
          <w:lang w:val="en-GB"/>
        </w:rPr>
        <w:t>Nowy</w:t>
      </w:r>
      <w:proofErr w:type="spellEnd"/>
      <w:r w:rsidRPr="00CF10A5">
        <w:rPr>
          <w:lang w:val="en-GB"/>
        </w:rPr>
        <w:t xml:space="preserve"> </w:t>
      </w:r>
      <w:proofErr w:type="spellStart"/>
      <w:r w:rsidRPr="00CF10A5">
        <w:rPr>
          <w:lang w:val="en-GB"/>
        </w:rPr>
        <w:t>Jork</w:t>
      </w:r>
      <w:proofErr w:type="spellEnd"/>
      <w:r w:rsidRPr="00CF10A5">
        <w:rPr>
          <w:lang w:val="en-GB"/>
        </w:rPr>
        <w:t xml:space="preserve"> 2002.</w:t>
      </w:r>
    </w:p>
    <w:p w14:paraId="7098B2AB" w14:textId="77777777" w:rsidR="008B0185" w:rsidRDefault="007A05AC">
      <w:pPr>
        <w:numPr>
          <w:ilvl w:val="0"/>
          <w:numId w:val="2"/>
        </w:numPr>
        <w:ind w:right="37" w:hanging="397"/>
      </w:pPr>
      <w:r>
        <w:t xml:space="preserve">Maslow A., </w:t>
      </w:r>
      <w:r>
        <w:rPr>
          <w:i/>
        </w:rPr>
        <w:t>Motywacja i osobowość</w:t>
      </w:r>
      <w:r>
        <w:t>, Wydaw. Naukowe PWN, Warszawa 2009</w:t>
      </w:r>
      <w:r>
        <w:t>.</w:t>
      </w:r>
    </w:p>
    <w:p w14:paraId="2D0B41C8" w14:textId="77777777" w:rsidR="008B0185" w:rsidRPr="00CF10A5" w:rsidRDefault="007A05AC">
      <w:pPr>
        <w:numPr>
          <w:ilvl w:val="0"/>
          <w:numId w:val="2"/>
        </w:numPr>
        <w:ind w:right="37" w:hanging="397"/>
        <w:rPr>
          <w:lang w:val="en-GB"/>
        </w:rPr>
      </w:pPr>
      <w:r w:rsidRPr="00CF10A5">
        <w:rPr>
          <w:lang w:val="en-GB"/>
        </w:rPr>
        <w:t>Nielsen T.</w:t>
      </w:r>
      <w:r w:rsidRPr="00CF10A5">
        <w:rPr>
          <w:i/>
          <w:lang w:val="en-GB"/>
        </w:rPr>
        <w:t>, Democratic</w:t>
      </w:r>
      <w:r w:rsidRPr="00CF10A5">
        <w:rPr>
          <w:lang w:val="en-GB"/>
        </w:rPr>
        <w:t xml:space="preserve"> </w:t>
      </w:r>
      <w:r w:rsidRPr="00CF10A5">
        <w:rPr>
          <w:i/>
          <w:lang w:val="en-GB"/>
        </w:rPr>
        <w:t xml:space="preserve">Urban Spaces in the Nordic Countries?, </w:t>
      </w:r>
      <w:r w:rsidRPr="00CF10A5">
        <w:rPr>
          <w:lang w:val="en-GB"/>
        </w:rPr>
        <w:t xml:space="preserve">“The Democratic Public Sphere – </w:t>
      </w:r>
      <w:proofErr w:type="spellStart"/>
      <w:r w:rsidRPr="00CF10A5">
        <w:rPr>
          <w:lang w:val="en-GB"/>
        </w:rPr>
        <w:t>Chellenges</w:t>
      </w:r>
      <w:proofErr w:type="spellEnd"/>
      <w:r w:rsidRPr="00CF10A5">
        <w:rPr>
          <w:lang w:val="en-GB"/>
        </w:rPr>
        <w:t xml:space="preserve"> and Developmental Perspectives”, 4/2013.</w:t>
      </w:r>
    </w:p>
    <w:p w14:paraId="23E772A5" w14:textId="77777777" w:rsidR="008B0185" w:rsidRDefault="007A05AC">
      <w:pPr>
        <w:numPr>
          <w:ilvl w:val="0"/>
          <w:numId w:val="2"/>
        </w:numPr>
        <w:ind w:right="37" w:hanging="397"/>
      </w:pPr>
      <w:r>
        <w:t xml:space="preserve">Orchowska A.,  </w:t>
      </w:r>
      <w:r>
        <w:rPr>
          <w:i/>
        </w:rPr>
        <w:t>Atrakcyjna przestrzeń rekreacyjna miasta odpowiedzią na potrzeby społeczne mieszkańców</w:t>
      </w:r>
      <w:r>
        <w:t>, „Środ</w:t>
      </w:r>
      <w:r>
        <w:t>owisko Mieszkaniowe”. Rekreacja w miejscu zamieszkania 16/2016.</w:t>
      </w:r>
    </w:p>
    <w:p w14:paraId="0125E762" w14:textId="77777777" w:rsidR="008B0185" w:rsidRPr="00CF10A5" w:rsidRDefault="007A05AC">
      <w:pPr>
        <w:numPr>
          <w:ilvl w:val="0"/>
          <w:numId w:val="2"/>
        </w:numPr>
        <w:spacing w:after="0" w:line="293" w:lineRule="auto"/>
        <w:ind w:right="37" w:hanging="397"/>
        <w:rPr>
          <w:lang w:val="en-GB"/>
        </w:rPr>
      </w:pPr>
      <w:r w:rsidRPr="00CF10A5">
        <w:rPr>
          <w:lang w:val="en-GB"/>
        </w:rPr>
        <w:lastRenderedPageBreak/>
        <w:t xml:space="preserve">Rainey J., </w:t>
      </w:r>
      <w:r w:rsidRPr="00CF10A5">
        <w:rPr>
          <w:i/>
          <w:lang w:val="en-GB"/>
        </w:rPr>
        <w:t>New York’s High Line Park: An Example of Successful Economic Development,</w:t>
      </w:r>
      <w:r w:rsidRPr="00CF10A5">
        <w:rPr>
          <w:lang w:val="en-GB"/>
        </w:rPr>
        <w:t xml:space="preserve"> The Leading Edge Newsletter, </w:t>
      </w:r>
      <w:proofErr w:type="spellStart"/>
      <w:r w:rsidRPr="00CF10A5">
        <w:rPr>
          <w:lang w:val="en-GB"/>
        </w:rPr>
        <w:t>jesień</w:t>
      </w:r>
      <w:proofErr w:type="spellEnd"/>
      <w:r w:rsidRPr="00CF10A5">
        <w:rPr>
          <w:lang w:val="en-GB"/>
        </w:rPr>
        <w:t>/</w:t>
      </w:r>
      <w:proofErr w:type="spellStart"/>
      <w:r w:rsidRPr="00CF10A5">
        <w:rPr>
          <w:lang w:val="en-GB"/>
        </w:rPr>
        <w:t>zima</w:t>
      </w:r>
      <w:proofErr w:type="spellEnd"/>
      <w:r w:rsidRPr="00CF10A5">
        <w:rPr>
          <w:lang w:val="en-GB"/>
        </w:rPr>
        <w:t>/2014.</w:t>
      </w:r>
    </w:p>
    <w:p w14:paraId="262A3A00" w14:textId="77777777" w:rsidR="008B0185" w:rsidRDefault="007A05AC">
      <w:pPr>
        <w:numPr>
          <w:ilvl w:val="0"/>
          <w:numId w:val="2"/>
        </w:numPr>
        <w:spacing w:after="283" w:line="293" w:lineRule="auto"/>
        <w:ind w:right="37" w:hanging="397"/>
      </w:pPr>
      <w:proofErr w:type="spellStart"/>
      <w:r>
        <w:t>Wilczkiewicz</w:t>
      </w:r>
      <w:proofErr w:type="spellEnd"/>
      <w:r>
        <w:t xml:space="preserve"> M., </w:t>
      </w:r>
      <w:r>
        <w:rPr>
          <w:i/>
        </w:rPr>
        <w:t xml:space="preserve">Wprowadzenie zieleni komponowanej metodą na rewitalizację obszarów miejskich poprzemysłowych na przykładzie nowojorskich parków: High Line Park, Brooklyn Bridge Park i </w:t>
      </w:r>
      <w:proofErr w:type="spellStart"/>
      <w:r>
        <w:rPr>
          <w:i/>
        </w:rPr>
        <w:t>Freshkills</w:t>
      </w:r>
      <w:proofErr w:type="spellEnd"/>
      <w:r>
        <w:rPr>
          <w:i/>
        </w:rPr>
        <w:t xml:space="preserve"> Park, </w:t>
      </w:r>
      <w:r>
        <w:t>Czasopismo Techniczne, 6-A/2012.</w:t>
      </w:r>
    </w:p>
    <w:p w14:paraId="3CFFC999" w14:textId="77777777" w:rsidR="008B0185" w:rsidRPr="00CF10A5" w:rsidRDefault="007A05AC">
      <w:pPr>
        <w:spacing w:after="224" w:line="259" w:lineRule="auto"/>
        <w:ind w:right="0" w:firstLine="0"/>
        <w:jc w:val="left"/>
        <w:rPr>
          <w:lang w:val="en-GB"/>
        </w:rPr>
      </w:pPr>
      <w:proofErr w:type="spellStart"/>
      <w:r w:rsidRPr="00CF10A5">
        <w:rPr>
          <w:b/>
          <w:sz w:val="26"/>
          <w:lang w:val="en-GB"/>
        </w:rPr>
        <w:t>Źródła</w:t>
      </w:r>
      <w:proofErr w:type="spellEnd"/>
      <w:r w:rsidRPr="00CF10A5">
        <w:rPr>
          <w:b/>
          <w:sz w:val="26"/>
          <w:lang w:val="en-GB"/>
        </w:rPr>
        <w:t xml:space="preserve"> </w:t>
      </w:r>
      <w:proofErr w:type="spellStart"/>
      <w:r w:rsidRPr="00CF10A5">
        <w:rPr>
          <w:b/>
          <w:sz w:val="26"/>
          <w:lang w:val="en-GB"/>
        </w:rPr>
        <w:t>internetowe</w:t>
      </w:r>
      <w:proofErr w:type="spellEnd"/>
      <w:r w:rsidRPr="00CF10A5">
        <w:rPr>
          <w:b/>
          <w:sz w:val="26"/>
          <w:lang w:val="en-GB"/>
        </w:rPr>
        <w:t>:</w:t>
      </w:r>
    </w:p>
    <w:p w14:paraId="3BE5CF62" w14:textId="77777777" w:rsidR="008B0185" w:rsidRPr="00CF10A5" w:rsidRDefault="007A05AC">
      <w:pPr>
        <w:ind w:left="382" w:right="37" w:hanging="397"/>
        <w:rPr>
          <w:lang w:val="en-GB"/>
        </w:rPr>
      </w:pPr>
      <w:r w:rsidRPr="00CF10A5">
        <w:rPr>
          <w:lang w:val="en-GB"/>
        </w:rPr>
        <w:t>[1] A garden bridg</w:t>
      </w:r>
      <w:r w:rsidRPr="00CF10A5">
        <w:rPr>
          <w:lang w:val="en-GB"/>
        </w:rPr>
        <w:t>e that works: how Seoul succeeded where London failed, https://www.theguardian.com/cities/2017/may/19/seoul-skygarden -south-</w:t>
      </w:r>
      <w:proofErr w:type="spellStart"/>
      <w:r w:rsidRPr="00CF10A5">
        <w:rPr>
          <w:lang w:val="en-GB"/>
        </w:rPr>
        <w:t>korea</w:t>
      </w:r>
      <w:proofErr w:type="spellEnd"/>
      <w:r w:rsidRPr="00CF10A5">
        <w:rPr>
          <w:lang w:val="en-GB"/>
        </w:rPr>
        <w:t xml:space="preserve">- </w:t>
      </w:r>
      <w:proofErr w:type="spellStart"/>
      <w:r w:rsidRPr="00CF10A5">
        <w:rPr>
          <w:lang w:val="en-GB"/>
        </w:rPr>
        <w:t>london</w:t>
      </w:r>
      <w:proofErr w:type="spellEnd"/>
      <w:r w:rsidRPr="00CF10A5">
        <w:rPr>
          <w:lang w:val="en-GB"/>
        </w:rPr>
        <w:t>-garden-bridge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  <w:p w14:paraId="7A51A7D5" w14:textId="77777777" w:rsidR="008B0185" w:rsidRPr="00CF10A5" w:rsidRDefault="007A05AC">
      <w:pPr>
        <w:numPr>
          <w:ilvl w:val="0"/>
          <w:numId w:val="3"/>
        </w:numPr>
        <w:ind w:right="37" w:hanging="397"/>
        <w:rPr>
          <w:lang w:val="en-GB"/>
        </w:rPr>
      </w:pPr>
      <w:r w:rsidRPr="00CF10A5">
        <w:rPr>
          <w:lang w:val="en-GB"/>
        </w:rPr>
        <w:t xml:space="preserve">BIG. Bjorke </w:t>
      </w:r>
      <w:proofErr w:type="spellStart"/>
      <w:r w:rsidRPr="00CF10A5">
        <w:rPr>
          <w:lang w:val="en-GB"/>
        </w:rPr>
        <w:t>Ingels</w:t>
      </w:r>
      <w:proofErr w:type="spellEnd"/>
      <w:r w:rsidRPr="00CF10A5">
        <w:rPr>
          <w:lang w:val="en-GB"/>
        </w:rPr>
        <w:t xml:space="preserve"> Group, http://www.big.dk/#projects-suk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02.04.2018).</w:t>
      </w:r>
    </w:p>
    <w:p w14:paraId="29A0904A" w14:textId="77777777" w:rsidR="008B0185" w:rsidRPr="00CF10A5" w:rsidRDefault="007A05AC">
      <w:pPr>
        <w:numPr>
          <w:ilvl w:val="0"/>
          <w:numId w:val="3"/>
        </w:numPr>
        <w:ind w:right="37" w:hanging="397"/>
        <w:rPr>
          <w:lang w:val="en-GB"/>
        </w:rPr>
      </w:pPr>
      <w:r w:rsidRPr="00CF10A5">
        <w:rPr>
          <w:lang w:val="en-GB"/>
        </w:rPr>
        <w:t>B</w:t>
      </w:r>
      <w:r w:rsidRPr="00CF10A5">
        <w:rPr>
          <w:lang w:val="en-GB"/>
        </w:rPr>
        <w:t xml:space="preserve">iking </w:t>
      </w:r>
      <w:proofErr w:type="spellStart"/>
      <w:r w:rsidRPr="00CF10A5">
        <w:rPr>
          <w:lang w:val="en-GB"/>
        </w:rPr>
        <w:t>Nørrebro</w:t>
      </w:r>
      <w:proofErr w:type="spellEnd"/>
      <w:r w:rsidRPr="00CF10A5">
        <w:rPr>
          <w:lang w:val="en-GB"/>
        </w:rPr>
        <w:t>, Copenhagen, http://www.lets-get-lost.com/blog/2015/06/ biking-</w:t>
      </w:r>
      <w:proofErr w:type="spellStart"/>
      <w:r w:rsidRPr="00CF10A5">
        <w:rPr>
          <w:lang w:val="en-GB"/>
        </w:rPr>
        <w:t>norrebro</w:t>
      </w:r>
      <w:proofErr w:type="spellEnd"/>
      <w:r w:rsidRPr="00CF10A5">
        <w:rPr>
          <w:lang w:val="en-GB"/>
        </w:rPr>
        <w:t>-</w:t>
      </w:r>
      <w:proofErr w:type="spellStart"/>
      <w:r w:rsidRPr="00CF10A5">
        <w:rPr>
          <w:lang w:val="en-GB"/>
        </w:rPr>
        <w:t>copenhagen</w:t>
      </w:r>
      <w:proofErr w:type="spellEnd"/>
      <w:r w:rsidRPr="00CF10A5">
        <w:rPr>
          <w:lang w:val="en-GB"/>
        </w:rPr>
        <w:t xml:space="preserve">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02.04.2018).</w:t>
      </w:r>
    </w:p>
    <w:p w14:paraId="0FCC2EBE" w14:textId="77777777" w:rsidR="008B0185" w:rsidRDefault="007A05AC">
      <w:pPr>
        <w:numPr>
          <w:ilvl w:val="0"/>
          <w:numId w:val="3"/>
        </w:numPr>
        <w:ind w:right="37" w:hanging="397"/>
      </w:pPr>
      <w:proofErr w:type="spellStart"/>
      <w:r>
        <w:t>EUMiesAward</w:t>
      </w:r>
      <w:proofErr w:type="spellEnd"/>
      <w:r>
        <w:t>, http://www.miesarch.com/work/2780 (dostęp: 02.04.2018).</w:t>
      </w:r>
    </w:p>
    <w:p w14:paraId="2729E9EB" w14:textId="77777777" w:rsidR="008B0185" w:rsidRPr="00CF10A5" w:rsidRDefault="007A05AC">
      <w:pPr>
        <w:numPr>
          <w:ilvl w:val="0"/>
          <w:numId w:val="3"/>
        </w:numPr>
        <w:ind w:right="37" w:hanging="397"/>
        <w:rPr>
          <w:lang w:val="en-GB"/>
        </w:rPr>
      </w:pPr>
      <w:r w:rsidRPr="00CF10A5">
        <w:rPr>
          <w:lang w:val="en-GB"/>
        </w:rPr>
        <w:t>Live in Zaha Hadid’s Undulating High Line Building for $ 22,500 a-M</w:t>
      </w:r>
      <w:r w:rsidRPr="00CF10A5">
        <w:rPr>
          <w:lang w:val="en-GB"/>
        </w:rPr>
        <w:t>onth, https://www.bloomberg.com/news/articles/2017-08-22/live-in-zaha-hadid-s- undulating-high-line- building-for- 22-500-a-month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  <w:p w14:paraId="0DFFAD5F" w14:textId="77777777" w:rsidR="008B0185" w:rsidRPr="00CF10A5" w:rsidRDefault="007A05AC">
      <w:pPr>
        <w:numPr>
          <w:ilvl w:val="0"/>
          <w:numId w:val="3"/>
        </w:numPr>
        <w:ind w:right="37" w:hanging="397"/>
        <w:rPr>
          <w:lang w:val="en-GB"/>
        </w:rPr>
      </w:pPr>
      <w:r w:rsidRPr="00CF10A5">
        <w:rPr>
          <w:lang w:val="en-GB"/>
        </w:rPr>
        <w:t xml:space="preserve">New </w:t>
      </w:r>
      <w:proofErr w:type="spellStart"/>
      <w:r w:rsidRPr="00CF10A5">
        <w:rPr>
          <w:lang w:val="en-GB"/>
        </w:rPr>
        <w:t>Yorks</w:t>
      </w:r>
      <w:proofErr w:type="spellEnd"/>
      <w:r w:rsidRPr="00CF10A5">
        <w:rPr>
          <w:lang w:val="en-GB"/>
        </w:rPr>
        <w:t xml:space="preserve"> High Line Park a marvel of vision, co-operation, https://www.thestar.com/business/2014/09/08/n</w:t>
      </w:r>
      <w:r w:rsidRPr="00CF10A5">
        <w:rPr>
          <w:lang w:val="en-GB"/>
        </w:rPr>
        <w:t>ew_yorks_high_line_park_a_marvel _of_vision_cooperation.html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  <w:p w14:paraId="24AAD68D" w14:textId="77777777" w:rsidR="008B0185" w:rsidRPr="00CF10A5" w:rsidRDefault="007A05AC">
      <w:pPr>
        <w:numPr>
          <w:ilvl w:val="0"/>
          <w:numId w:val="3"/>
        </w:numPr>
        <w:ind w:right="37" w:hanging="397"/>
        <w:rPr>
          <w:lang w:val="en-GB"/>
        </w:rPr>
      </w:pPr>
      <w:r w:rsidRPr="00CF10A5">
        <w:rPr>
          <w:lang w:val="en-GB"/>
        </w:rPr>
        <w:t>US. and World Population Glock, https://www.census.gov/popclock/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 xml:space="preserve">: </w:t>
      </w:r>
    </w:p>
    <w:p w14:paraId="48F5AC2C" w14:textId="77777777" w:rsidR="008B0185" w:rsidRDefault="007A05AC">
      <w:pPr>
        <w:ind w:left="397" w:right="37" w:firstLine="0"/>
      </w:pPr>
      <w:r>
        <w:t>03.04.2018).</w:t>
      </w:r>
    </w:p>
    <w:p w14:paraId="13DB02BB" w14:textId="77777777" w:rsidR="008B0185" w:rsidRPr="00CF10A5" w:rsidRDefault="007A05AC">
      <w:pPr>
        <w:numPr>
          <w:ilvl w:val="0"/>
          <w:numId w:val="3"/>
        </w:numPr>
        <w:ind w:right="37" w:hanging="397"/>
        <w:rPr>
          <w:lang w:val="en-GB"/>
        </w:rPr>
      </w:pPr>
      <w:r w:rsidRPr="00CF10A5">
        <w:rPr>
          <w:lang w:val="en-GB"/>
        </w:rPr>
        <w:t>The High Line, http://www.thehighline.org/visit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  <w:p w14:paraId="5404853E" w14:textId="77777777" w:rsidR="008B0185" w:rsidRPr="00CF10A5" w:rsidRDefault="007A05AC">
      <w:pPr>
        <w:numPr>
          <w:ilvl w:val="0"/>
          <w:numId w:val="3"/>
        </w:numPr>
        <w:ind w:right="37" w:hanging="397"/>
        <w:rPr>
          <w:lang w:val="en-GB"/>
        </w:rPr>
      </w:pPr>
      <w:r w:rsidRPr="00CF10A5">
        <w:rPr>
          <w:lang w:val="en-GB"/>
        </w:rPr>
        <w:t xml:space="preserve">The World’s Cities in 2016, http://www.un.org/en/development/desa/population/publications/pdf/urbanization/ the_worlds_cities_in_2016_ </w:t>
      </w:r>
      <w:proofErr w:type="spellStart"/>
      <w:r w:rsidRPr="00CF10A5">
        <w:rPr>
          <w:lang w:val="en-GB"/>
        </w:rPr>
        <w:t>data_booklet</w:t>
      </w:r>
      <w:proofErr w:type="spellEnd"/>
      <w:r w:rsidRPr="00CF10A5">
        <w:rPr>
          <w:lang w:val="en-GB"/>
        </w:rPr>
        <w:t>. pdf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  <w:sectPr w:rsidR="008B0185" w:rsidRPr="00CF10A5">
      <w:headerReference w:type="even" r:id="rId14"/>
      <w:headerReference w:type="default" r:id="rId15"/>
      <w:headerReference w:type="first" r:id="rId16"/>
      <w:pgSz w:w="9638" w:h="13606"/>
      <w:pgMar w:top="1701" w:right="1131" w:bottom="1071" w:left="1417" w:header="708" w:footer="708" w:gutter="0"/>
      <w:pgNumType w:start="3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B796C" w14:textId="77777777" w:rsidR="007A05AC" w:rsidRDefault="007A05AC">
      <w:pPr>
        <w:spacing w:after="0" w:line="240" w:lineRule="auto"/>
      </w:pPr>
      <w:r>
        <w:separator/>
      </w:r>
    </w:p>
  </w:endnote>
  <w:endnote w:type="continuationSeparator" w:id="0">
    <w:p w14:paraId="02BF53F6" w14:textId="77777777" w:rsidR="007A05AC" w:rsidRDefault="007A0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48921" w14:textId="77777777" w:rsidR="007A05AC" w:rsidRDefault="007A05AC">
      <w:pPr>
        <w:tabs>
          <w:tab w:val="center" w:pos="3430"/>
        </w:tabs>
        <w:spacing w:after="46" w:line="259" w:lineRule="auto"/>
        <w:ind w:right="0" w:firstLine="0"/>
        <w:jc w:val="left"/>
      </w:pPr>
      <w:r>
        <w:separator/>
      </w:r>
    </w:p>
  </w:footnote>
  <w:footnote w:type="continuationSeparator" w:id="0">
    <w:p w14:paraId="2D3A9F22" w14:textId="77777777" w:rsidR="007A05AC" w:rsidRDefault="007A05AC">
      <w:pPr>
        <w:tabs>
          <w:tab w:val="center" w:pos="3430"/>
        </w:tabs>
        <w:spacing w:after="46" w:line="259" w:lineRule="auto"/>
        <w:ind w:right="0" w:firstLine="0"/>
        <w:jc w:val="left"/>
      </w:pPr>
      <w:r>
        <w:continuationSeparator/>
      </w:r>
    </w:p>
  </w:footnote>
  <w:footnote w:id="1">
    <w:p w14:paraId="1C1CE4EB" w14:textId="77777777" w:rsidR="008B0185" w:rsidRDefault="007A05AC">
      <w:pPr>
        <w:pStyle w:val="footnotedescription"/>
        <w:tabs>
          <w:tab w:val="center" w:pos="3430"/>
        </w:tabs>
        <w:spacing w:after="46"/>
      </w:pPr>
      <w:r>
        <w:rPr>
          <w:rStyle w:val="footnotemark"/>
        </w:rPr>
        <w:footnoteRef/>
      </w:r>
      <w:r>
        <w:t xml:space="preserve"> </w:t>
      </w:r>
      <w:r>
        <w:t xml:space="preserve">A. Maslow, </w:t>
      </w:r>
      <w:r>
        <w:rPr>
          <w:i/>
        </w:rPr>
        <w:t>Motywacja i osobowość</w:t>
      </w:r>
      <w:r>
        <w:t>, Wydaw. Naukowe PWN, Warszawa, 2009, s. 62-72.</w:t>
      </w:r>
    </w:p>
  </w:footnote>
  <w:footnote w:id="2">
    <w:p w14:paraId="1B86DADF" w14:textId="77777777" w:rsidR="008B0185" w:rsidRDefault="007A05AC">
      <w:pPr>
        <w:pStyle w:val="footnotedescription"/>
        <w:spacing w:after="0" w:line="270" w:lineRule="auto"/>
        <w:ind w:left="283" w:hanging="283"/>
      </w:pPr>
      <w:r>
        <w:rPr>
          <w:rStyle w:val="footnotemark"/>
        </w:rPr>
        <w:footnoteRef/>
      </w:r>
      <w:r>
        <w:t xml:space="preserve"> E. Chądzyńska, </w:t>
      </w:r>
      <w:r>
        <w:rPr>
          <w:i/>
        </w:rPr>
        <w:t>Rewitalizacja zdegradowanych przestrzeni miejskich – studia przypadku</w:t>
      </w:r>
      <w:r>
        <w:t>, „Studia Miejskie”, 17/2015, s. 94.</w:t>
      </w:r>
    </w:p>
  </w:footnote>
  <w:footnote w:id="3">
    <w:p w14:paraId="1F876C23" w14:textId="77777777" w:rsidR="008B0185" w:rsidRPr="00CF10A5" w:rsidRDefault="007A05AC">
      <w:pPr>
        <w:pStyle w:val="footnotedescription"/>
        <w:tabs>
          <w:tab w:val="center" w:pos="547"/>
        </w:tabs>
        <w:spacing w:after="74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</w:t>
      </w:r>
      <w:r w:rsidRPr="00CF10A5">
        <w:rPr>
          <w:i/>
          <w:lang w:val="en-GB"/>
        </w:rPr>
        <w:t>Ibidem.</w:t>
      </w:r>
    </w:p>
  </w:footnote>
  <w:footnote w:id="4">
    <w:p w14:paraId="1E17D11D" w14:textId="77777777" w:rsidR="00CF10A5" w:rsidRPr="00CF10A5" w:rsidRDefault="007A05AC" w:rsidP="00CF10A5">
      <w:pPr>
        <w:spacing w:after="18" w:line="270" w:lineRule="auto"/>
        <w:ind w:right="0" w:firstLine="0"/>
        <w:jc w:val="left"/>
        <w:rPr>
          <w:sz w:val="16"/>
          <w:szCs w:val="16"/>
          <w:lang w:val="en-GB"/>
        </w:rPr>
      </w:pPr>
      <w:r w:rsidRPr="00CF10A5">
        <w:rPr>
          <w:rStyle w:val="footnotemark"/>
          <w:sz w:val="16"/>
          <w:szCs w:val="16"/>
        </w:rPr>
        <w:footnoteRef/>
      </w:r>
      <w:r w:rsidRPr="00CF10A5">
        <w:rPr>
          <w:sz w:val="16"/>
          <w:szCs w:val="16"/>
          <w:lang w:val="en-GB"/>
        </w:rPr>
        <w:t xml:space="preserve"> T. Nielsen</w:t>
      </w:r>
      <w:r w:rsidRPr="00CF10A5">
        <w:rPr>
          <w:i/>
          <w:sz w:val="16"/>
          <w:szCs w:val="16"/>
          <w:lang w:val="en-GB"/>
        </w:rPr>
        <w:t>, Democratic</w:t>
      </w:r>
      <w:r w:rsidRPr="00CF10A5">
        <w:rPr>
          <w:sz w:val="16"/>
          <w:szCs w:val="16"/>
          <w:lang w:val="en-GB"/>
        </w:rPr>
        <w:t xml:space="preserve"> </w:t>
      </w:r>
      <w:r w:rsidRPr="00CF10A5">
        <w:rPr>
          <w:i/>
          <w:sz w:val="16"/>
          <w:szCs w:val="16"/>
          <w:lang w:val="en-GB"/>
        </w:rPr>
        <w:t xml:space="preserve">Urban Spaces in the Nordic Countries?, </w:t>
      </w:r>
      <w:r w:rsidRPr="00CF10A5">
        <w:rPr>
          <w:sz w:val="16"/>
          <w:szCs w:val="16"/>
          <w:lang w:val="en-GB"/>
        </w:rPr>
        <w:t xml:space="preserve">“The Democratic Public Sphere </w:t>
      </w:r>
      <w:r w:rsidR="00CF10A5" w:rsidRPr="00CF10A5">
        <w:rPr>
          <w:sz w:val="16"/>
          <w:szCs w:val="16"/>
          <w:lang w:val="en-GB"/>
        </w:rPr>
        <w:t>– Challenges and Developmental Perspectives”, 4/2013, s. 10.</w:t>
      </w:r>
    </w:p>
    <w:p w14:paraId="294C4D5D" w14:textId="12BE03D5" w:rsidR="008B0185" w:rsidRPr="00CF10A5" w:rsidRDefault="008B0185">
      <w:pPr>
        <w:pStyle w:val="footnotedescription"/>
        <w:tabs>
          <w:tab w:val="right" w:pos="7090"/>
        </w:tabs>
        <w:spacing w:after="0"/>
        <w:rPr>
          <w:lang w:val="en-GB"/>
        </w:rPr>
      </w:pPr>
    </w:p>
  </w:footnote>
  <w:footnote w:id="5">
    <w:p w14:paraId="6F40A9AC" w14:textId="77777777" w:rsidR="008B0185" w:rsidRDefault="007A05AC">
      <w:pPr>
        <w:pStyle w:val="footnotedescription"/>
        <w:spacing w:after="0" w:line="270" w:lineRule="auto"/>
        <w:ind w:left="283" w:hanging="283"/>
        <w:jc w:val="both"/>
      </w:pPr>
      <w:r>
        <w:rPr>
          <w:rStyle w:val="footnotemark"/>
        </w:rPr>
        <w:footnoteRef/>
      </w:r>
      <w:r>
        <w:t xml:space="preserve"> A. Orchowska, </w:t>
      </w:r>
      <w:r>
        <w:rPr>
          <w:i/>
        </w:rPr>
        <w:t>Atrakcyjna przestrzeń rekreacyjna miasta odpowiedzią na potrzeby społeczne mieszkańców</w:t>
      </w:r>
      <w:r>
        <w:t xml:space="preserve">, „Środowisko Mieszkaniowe”, Rekreacja w miejscu zamieszkania 16/2016, s. 98. </w:t>
      </w:r>
    </w:p>
  </w:footnote>
  <w:footnote w:id="6">
    <w:p w14:paraId="1EBA10DD" w14:textId="77777777" w:rsidR="008B0185" w:rsidRDefault="007A05AC">
      <w:pPr>
        <w:pStyle w:val="footnotedescription"/>
        <w:tabs>
          <w:tab w:val="center" w:pos="3033"/>
        </w:tabs>
        <w:spacing w:after="46"/>
      </w:pPr>
      <w:r>
        <w:rPr>
          <w:rStyle w:val="footnotemark"/>
        </w:rPr>
        <w:footnoteRef/>
      </w:r>
      <w:r>
        <w:t xml:space="preserve"> </w:t>
      </w:r>
      <w:proofErr w:type="spellStart"/>
      <w:r>
        <w:t>EUM</w:t>
      </w:r>
      <w:r>
        <w:t>iesAward</w:t>
      </w:r>
      <w:proofErr w:type="spellEnd"/>
      <w:r>
        <w:t>, http://www.miesarch.com/work/2780 (dostęp: 02.04.2018).</w:t>
      </w:r>
    </w:p>
  </w:footnote>
  <w:footnote w:id="7">
    <w:p w14:paraId="6325BEFB" w14:textId="77777777" w:rsidR="008B0185" w:rsidRPr="00CF10A5" w:rsidRDefault="007A05AC">
      <w:pPr>
        <w:pStyle w:val="footnotedescription"/>
        <w:tabs>
          <w:tab w:val="center" w:pos="3237"/>
        </w:tabs>
        <w:spacing w:after="60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BIG. Bjorke </w:t>
      </w:r>
      <w:proofErr w:type="spellStart"/>
      <w:r w:rsidRPr="00CF10A5">
        <w:rPr>
          <w:lang w:val="en-GB"/>
        </w:rPr>
        <w:t>Ingels</w:t>
      </w:r>
      <w:proofErr w:type="spellEnd"/>
      <w:r w:rsidRPr="00CF10A5">
        <w:rPr>
          <w:lang w:val="en-GB"/>
        </w:rPr>
        <w:t xml:space="preserve"> Group, http://www.big.dk/#projects-suk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02.04.2018).</w:t>
      </w:r>
    </w:p>
  </w:footnote>
  <w:footnote w:id="8">
    <w:p w14:paraId="3A1C9513" w14:textId="77777777" w:rsidR="008B0185" w:rsidRDefault="007A05AC">
      <w:pPr>
        <w:pStyle w:val="footnotedescription"/>
        <w:tabs>
          <w:tab w:val="center" w:pos="2175"/>
        </w:tabs>
        <w:spacing w:after="47"/>
      </w:pPr>
      <w:r>
        <w:rPr>
          <w:rStyle w:val="footnotemark"/>
        </w:rPr>
        <w:footnoteRef/>
      </w:r>
      <w:r>
        <w:t xml:space="preserve"> A. Orchowska, </w:t>
      </w:r>
      <w:r>
        <w:rPr>
          <w:i/>
        </w:rPr>
        <w:t>Atrakcyjna przestrzeń</w:t>
      </w:r>
      <w:r>
        <w:t>…, op. cit., s. 97.</w:t>
      </w:r>
    </w:p>
  </w:footnote>
  <w:footnote w:id="9">
    <w:p w14:paraId="758FD756" w14:textId="77777777" w:rsidR="008B0185" w:rsidRDefault="007A05AC">
      <w:pPr>
        <w:pStyle w:val="footnotedescription"/>
        <w:tabs>
          <w:tab w:val="center" w:pos="2928"/>
        </w:tabs>
        <w:spacing w:after="0"/>
      </w:pPr>
      <w:r>
        <w:rPr>
          <w:rStyle w:val="footnotemark"/>
        </w:rPr>
        <w:footnoteRef/>
      </w:r>
      <w:r>
        <w:t xml:space="preserve"> D. Jopek, </w:t>
      </w:r>
      <w:r>
        <w:rPr>
          <w:i/>
        </w:rPr>
        <w:t>High Line – Park Na Torach</w:t>
      </w:r>
      <w:r>
        <w:t>, „przestrzeń</w:t>
      </w:r>
      <w:r>
        <w:t xml:space="preserve"> i FORMA” 20/2013, s. 1.</w:t>
      </w:r>
    </w:p>
  </w:footnote>
  <w:footnote w:id="10">
    <w:p w14:paraId="2A44EB7D" w14:textId="77777777" w:rsidR="008B0185" w:rsidRDefault="007A05AC">
      <w:pPr>
        <w:pStyle w:val="footnotedescription"/>
        <w:spacing w:after="45" w:line="270" w:lineRule="auto"/>
        <w:ind w:right="49"/>
        <w:jc w:val="both"/>
      </w:pPr>
      <w:r>
        <w:rPr>
          <w:rStyle w:val="footnotemark"/>
        </w:rPr>
        <w:footnoteRef/>
      </w:r>
      <w:r w:rsidRPr="00CF10A5">
        <w:rPr>
          <w:lang w:val="en-GB"/>
        </w:rPr>
        <w:t xml:space="preserve"> D. Joshua, </w:t>
      </w:r>
      <w:r w:rsidRPr="00CF10A5">
        <w:rPr>
          <w:i/>
          <w:lang w:val="en-GB"/>
        </w:rPr>
        <w:t>Reclaiming The High Line</w:t>
      </w:r>
      <w:r w:rsidRPr="00CF10A5">
        <w:rPr>
          <w:lang w:val="en-GB"/>
        </w:rPr>
        <w:t xml:space="preserve">, Design Trust for Public Space with Friends of the High Line, </w:t>
      </w:r>
      <w:proofErr w:type="spellStart"/>
      <w:r w:rsidRPr="00CF10A5">
        <w:rPr>
          <w:lang w:val="en-GB"/>
        </w:rPr>
        <w:t>Nowy</w:t>
      </w:r>
      <w:proofErr w:type="spellEnd"/>
      <w:r w:rsidRPr="00CF10A5">
        <w:rPr>
          <w:lang w:val="en-GB"/>
        </w:rPr>
        <w:t xml:space="preserve"> </w:t>
      </w:r>
      <w:proofErr w:type="spellStart"/>
      <w:r w:rsidRPr="00CF10A5">
        <w:rPr>
          <w:lang w:val="en-GB"/>
        </w:rPr>
        <w:t>Jork</w:t>
      </w:r>
      <w:proofErr w:type="spellEnd"/>
      <w:r w:rsidRPr="00CF10A5">
        <w:rPr>
          <w:lang w:val="en-GB"/>
        </w:rPr>
        <w:t xml:space="preserve">, 2002, s. 7.   </w:t>
      </w:r>
      <w:r>
        <w:rPr>
          <w:sz w:val="14"/>
          <w:vertAlign w:val="superscript"/>
        </w:rPr>
        <w:t>15</w:t>
      </w:r>
      <w:r>
        <w:rPr>
          <w:sz w:val="14"/>
          <w:vertAlign w:val="superscript"/>
        </w:rPr>
        <w:t xml:space="preserve"> </w:t>
      </w:r>
      <w:r>
        <w:rPr>
          <w:i/>
        </w:rPr>
        <w:t>Ibidem</w:t>
      </w:r>
      <w:r>
        <w:t>, s. 14.</w:t>
      </w:r>
    </w:p>
  </w:footnote>
  <w:footnote w:id="11">
    <w:p w14:paraId="310AEDF5" w14:textId="77777777" w:rsidR="008B0185" w:rsidRDefault="007A05AC">
      <w:pPr>
        <w:pStyle w:val="footnotedescription"/>
        <w:tabs>
          <w:tab w:val="center" w:pos="1588"/>
        </w:tabs>
        <w:spacing w:after="55"/>
      </w:pPr>
      <w:r>
        <w:rPr>
          <w:rStyle w:val="footnotemark"/>
        </w:rPr>
        <w:footnoteRef/>
      </w:r>
      <w:r>
        <w:t xml:space="preserve"> D. Jopek, </w:t>
      </w:r>
      <w:r>
        <w:rPr>
          <w:i/>
        </w:rPr>
        <w:t>High Line</w:t>
      </w:r>
      <w:r>
        <w:t>…, op. cit., s. 356.</w:t>
      </w:r>
    </w:p>
  </w:footnote>
  <w:footnote w:id="12">
    <w:p w14:paraId="0B5797CA" w14:textId="77777777" w:rsidR="008B0185" w:rsidRDefault="007A05AC">
      <w:pPr>
        <w:pStyle w:val="footnotedescription"/>
        <w:spacing w:after="23" w:line="246" w:lineRule="auto"/>
        <w:ind w:left="283" w:right="49" w:hanging="283"/>
        <w:jc w:val="both"/>
      </w:pPr>
      <w:r>
        <w:rPr>
          <w:rStyle w:val="footnotemark"/>
        </w:rPr>
        <w:footnoteRef/>
      </w:r>
      <w:r>
        <w:t xml:space="preserve"> M. </w:t>
      </w:r>
      <w:proofErr w:type="spellStart"/>
      <w:r>
        <w:t>Wilczkiewicz</w:t>
      </w:r>
      <w:proofErr w:type="spellEnd"/>
      <w:r>
        <w:t xml:space="preserve">, </w:t>
      </w:r>
      <w:r>
        <w:rPr>
          <w:i/>
        </w:rPr>
        <w:t>Wprowadzenie</w:t>
      </w:r>
      <w:r>
        <w:t xml:space="preserve"> </w:t>
      </w:r>
      <w:r>
        <w:rPr>
          <w:i/>
        </w:rPr>
        <w:t xml:space="preserve">zieleni komponowanej metodą na rewitalizację obszarów miejskich poprzemysłowych na przykładzie nowojorskich parków: High Line Park, Brooklyn Bridge Park i </w:t>
      </w:r>
      <w:proofErr w:type="spellStart"/>
      <w:r>
        <w:rPr>
          <w:i/>
        </w:rPr>
        <w:t>Freshkills</w:t>
      </w:r>
      <w:proofErr w:type="spellEnd"/>
      <w:r>
        <w:rPr>
          <w:i/>
        </w:rPr>
        <w:t xml:space="preserve"> Park, </w:t>
      </w:r>
      <w:r>
        <w:t>Czasopismo Techniczne, 6-A/2012, s. 225.</w:t>
      </w:r>
    </w:p>
  </w:footnote>
  <w:footnote w:id="13">
    <w:p w14:paraId="3A66D44F" w14:textId="77777777" w:rsidR="008B0185" w:rsidRPr="00CF10A5" w:rsidRDefault="007A05AC">
      <w:pPr>
        <w:pStyle w:val="footnotedescription"/>
        <w:tabs>
          <w:tab w:val="center" w:pos="809"/>
        </w:tabs>
        <w:spacing w:after="59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</w:t>
      </w:r>
      <w:r w:rsidRPr="00CF10A5">
        <w:rPr>
          <w:i/>
          <w:lang w:val="en-GB"/>
        </w:rPr>
        <w:t>Ibidem</w:t>
      </w:r>
      <w:r w:rsidRPr="00CF10A5">
        <w:rPr>
          <w:lang w:val="en-GB"/>
        </w:rPr>
        <w:t>, s. 229.</w:t>
      </w:r>
    </w:p>
  </w:footnote>
  <w:footnote w:id="14">
    <w:p w14:paraId="15EBAFD2" w14:textId="77777777" w:rsidR="008B0185" w:rsidRPr="00CF10A5" w:rsidRDefault="007A05AC">
      <w:pPr>
        <w:pStyle w:val="footnotedescription"/>
        <w:spacing w:after="0" w:line="264" w:lineRule="auto"/>
        <w:ind w:left="283" w:hanging="283"/>
        <w:jc w:val="both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J. Rainey, </w:t>
      </w:r>
      <w:r w:rsidRPr="00CF10A5">
        <w:rPr>
          <w:i/>
          <w:lang w:val="en-GB"/>
        </w:rPr>
        <w:t>New York’s H</w:t>
      </w:r>
      <w:r w:rsidRPr="00CF10A5">
        <w:rPr>
          <w:i/>
          <w:lang w:val="en-GB"/>
        </w:rPr>
        <w:t>igh Line Park: An Example of Successful Economic Development,</w:t>
      </w:r>
      <w:r w:rsidRPr="00CF10A5">
        <w:rPr>
          <w:lang w:val="en-GB"/>
        </w:rPr>
        <w:t xml:space="preserve"> The Leading Edge Newsletter, </w:t>
      </w:r>
      <w:proofErr w:type="spellStart"/>
      <w:r w:rsidRPr="00CF10A5">
        <w:rPr>
          <w:lang w:val="en-GB"/>
        </w:rPr>
        <w:t>jesień</w:t>
      </w:r>
      <w:proofErr w:type="spellEnd"/>
      <w:r w:rsidRPr="00CF10A5">
        <w:rPr>
          <w:lang w:val="en-GB"/>
        </w:rPr>
        <w:t>/</w:t>
      </w:r>
      <w:proofErr w:type="spellStart"/>
      <w:r w:rsidRPr="00CF10A5">
        <w:rPr>
          <w:lang w:val="en-GB"/>
        </w:rPr>
        <w:t>zima</w:t>
      </w:r>
      <w:proofErr w:type="spellEnd"/>
      <w:r w:rsidRPr="00CF10A5">
        <w:rPr>
          <w:lang w:val="en-GB"/>
        </w:rPr>
        <w:t>/2014, s. 3.</w:t>
      </w:r>
    </w:p>
  </w:footnote>
  <w:footnote w:id="15">
    <w:p w14:paraId="0DC4CBF5" w14:textId="77777777" w:rsidR="008B0185" w:rsidRPr="00CF10A5" w:rsidRDefault="007A05AC">
      <w:pPr>
        <w:pStyle w:val="footnotedescription"/>
        <w:tabs>
          <w:tab w:val="center" w:pos="2087"/>
        </w:tabs>
        <w:spacing w:after="42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D. Joshua, </w:t>
      </w:r>
      <w:r w:rsidRPr="00CF10A5">
        <w:rPr>
          <w:i/>
          <w:lang w:val="en-GB"/>
        </w:rPr>
        <w:t xml:space="preserve">Reclaiming The High Line…, </w:t>
      </w:r>
      <w:r w:rsidRPr="00CF10A5">
        <w:rPr>
          <w:lang w:val="en-GB"/>
        </w:rPr>
        <w:t>op. cit., s. 8.</w:t>
      </w:r>
    </w:p>
  </w:footnote>
  <w:footnote w:id="16">
    <w:p w14:paraId="51D1201D" w14:textId="77777777" w:rsidR="008B0185" w:rsidRPr="00CF10A5" w:rsidRDefault="007A05AC">
      <w:pPr>
        <w:pStyle w:val="footnotedescription"/>
        <w:tabs>
          <w:tab w:val="center" w:pos="761"/>
        </w:tabs>
        <w:spacing w:after="59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</w:t>
      </w:r>
      <w:r w:rsidRPr="00CF10A5">
        <w:rPr>
          <w:i/>
          <w:lang w:val="en-GB"/>
        </w:rPr>
        <w:t>Ibidem</w:t>
      </w:r>
      <w:r w:rsidRPr="00CF10A5">
        <w:rPr>
          <w:lang w:val="en-GB"/>
        </w:rPr>
        <w:t>, s. 11.</w:t>
      </w:r>
    </w:p>
  </w:footnote>
  <w:footnote w:id="17">
    <w:p w14:paraId="5EC9D585" w14:textId="77777777" w:rsidR="008B0185" w:rsidRPr="00CF10A5" w:rsidRDefault="007A05AC">
      <w:pPr>
        <w:pStyle w:val="footnotedescription"/>
        <w:tabs>
          <w:tab w:val="center" w:pos="1450"/>
        </w:tabs>
        <w:spacing w:after="35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D. </w:t>
      </w:r>
      <w:proofErr w:type="spellStart"/>
      <w:r w:rsidRPr="00CF10A5">
        <w:rPr>
          <w:lang w:val="en-GB"/>
        </w:rPr>
        <w:t>Jopk</w:t>
      </w:r>
      <w:proofErr w:type="spellEnd"/>
      <w:r w:rsidRPr="00CF10A5">
        <w:rPr>
          <w:lang w:val="en-GB"/>
        </w:rPr>
        <w:t xml:space="preserve">, </w:t>
      </w:r>
      <w:r w:rsidRPr="00CF10A5">
        <w:rPr>
          <w:i/>
          <w:lang w:val="en-GB"/>
        </w:rPr>
        <w:t>High Line…,</w:t>
      </w:r>
      <w:r w:rsidRPr="00CF10A5">
        <w:rPr>
          <w:lang w:val="en-GB"/>
        </w:rPr>
        <w:t xml:space="preserve"> op. cit., s.56</w:t>
      </w:r>
    </w:p>
  </w:footnote>
  <w:footnote w:id="18">
    <w:p w14:paraId="0011391F" w14:textId="77777777" w:rsidR="008B0185" w:rsidRDefault="007A05AC">
      <w:pPr>
        <w:pStyle w:val="footnotedescription"/>
        <w:tabs>
          <w:tab w:val="center" w:pos="547"/>
        </w:tabs>
        <w:spacing w:after="0"/>
      </w:pPr>
      <w:r>
        <w:rPr>
          <w:rStyle w:val="footnotemark"/>
        </w:rPr>
        <w:footnoteRef/>
      </w:r>
      <w:r>
        <w:t xml:space="preserve"> </w:t>
      </w:r>
      <w:r>
        <w:rPr>
          <w:i/>
        </w:rPr>
        <w:t>Ibidem.</w:t>
      </w:r>
    </w:p>
  </w:footnote>
  <w:footnote w:id="19">
    <w:p w14:paraId="2FC8F9A8" w14:textId="77777777" w:rsidR="008B0185" w:rsidRDefault="007A05AC">
      <w:pPr>
        <w:pStyle w:val="footnotedescription"/>
        <w:spacing w:after="0" w:line="270" w:lineRule="auto"/>
        <w:ind w:left="283" w:hanging="283"/>
      </w:pPr>
      <w:r>
        <w:rPr>
          <w:rStyle w:val="footnotemark"/>
        </w:rPr>
        <w:footnoteRef/>
      </w:r>
      <w:r>
        <w:t xml:space="preserve"> </w:t>
      </w:r>
      <w:r>
        <w:t xml:space="preserve">W. Gadomska, W. Gadomski, </w:t>
      </w:r>
      <w:r>
        <w:rPr>
          <w:i/>
        </w:rPr>
        <w:t>Park High Line – Przestrzeń publiczna jako rezultat rewitalizacji postindustrialnego dziedzictwa zachodniego Manhattanu,</w:t>
      </w:r>
      <w:r>
        <w:t xml:space="preserve"> “przestrzeń i FORMA” 21/2014, s. 277.</w:t>
      </w:r>
    </w:p>
  </w:footnote>
  <w:footnote w:id="20">
    <w:p w14:paraId="4C1E7FFE" w14:textId="77777777" w:rsidR="008B0185" w:rsidRPr="00CF10A5" w:rsidRDefault="007A05AC">
      <w:pPr>
        <w:pStyle w:val="footnotedescription"/>
        <w:tabs>
          <w:tab w:val="center" w:pos="2813"/>
        </w:tabs>
        <w:spacing w:after="55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The High Line, http://www.thehighline.org/visit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</w:footnote>
  <w:footnote w:id="21">
    <w:p w14:paraId="49211235" w14:textId="77777777" w:rsidR="008B0185" w:rsidRPr="00CF10A5" w:rsidRDefault="007A05AC">
      <w:pPr>
        <w:pStyle w:val="footnotedescription"/>
        <w:spacing w:after="0" w:line="270" w:lineRule="auto"/>
        <w:ind w:left="283" w:hanging="283"/>
        <w:jc w:val="both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New </w:t>
      </w:r>
      <w:proofErr w:type="spellStart"/>
      <w:r w:rsidRPr="00CF10A5">
        <w:rPr>
          <w:lang w:val="en-GB"/>
        </w:rPr>
        <w:t>Yorks</w:t>
      </w:r>
      <w:proofErr w:type="spellEnd"/>
      <w:r w:rsidRPr="00CF10A5">
        <w:rPr>
          <w:lang w:val="en-GB"/>
        </w:rPr>
        <w:t xml:space="preserve"> High Line Park a marvel of vision, co-operation, https://www.thestar.com/business/2014/09/08/new_yorks_high_line_park_a_marvel_of_vision_cooperation.html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 xml:space="preserve">: </w:t>
      </w:r>
    </w:p>
  </w:footnote>
  <w:footnote w:id="22">
    <w:p w14:paraId="14C45A6A" w14:textId="77777777" w:rsidR="008B0185" w:rsidRPr="00CF10A5" w:rsidRDefault="007A05AC">
      <w:pPr>
        <w:pStyle w:val="footnotedescription"/>
        <w:spacing w:after="0"/>
        <w:ind w:left="284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.04.2018).</w:t>
      </w:r>
    </w:p>
  </w:footnote>
  <w:footnote w:id="23">
    <w:p w14:paraId="4BCD6235" w14:textId="77777777" w:rsidR="008B0185" w:rsidRPr="00CF10A5" w:rsidRDefault="007A05AC">
      <w:pPr>
        <w:pStyle w:val="footnotedescription"/>
        <w:spacing w:line="253" w:lineRule="auto"/>
        <w:ind w:left="283" w:right="52" w:hanging="283"/>
        <w:jc w:val="both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</w:t>
      </w:r>
      <w:r w:rsidRPr="00CF10A5">
        <w:rPr>
          <w:lang w:val="en-GB"/>
        </w:rPr>
        <w:t>Live in Zaha Hadid’s Undulating High Line Building for $ 22,500 a-Month, https://www.bloomberg.com/news/articles/2017-08-22/ live-in-</w:t>
      </w:r>
      <w:proofErr w:type="spellStart"/>
      <w:r w:rsidRPr="00CF10A5">
        <w:rPr>
          <w:lang w:val="en-GB"/>
        </w:rPr>
        <w:t>zaha</w:t>
      </w:r>
      <w:proofErr w:type="spellEnd"/>
      <w:r w:rsidRPr="00CF10A5">
        <w:rPr>
          <w:lang w:val="en-GB"/>
        </w:rPr>
        <w:t>-</w:t>
      </w:r>
      <w:proofErr w:type="spellStart"/>
      <w:r w:rsidRPr="00CF10A5">
        <w:rPr>
          <w:lang w:val="en-GB"/>
        </w:rPr>
        <w:t>hadid</w:t>
      </w:r>
      <w:proofErr w:type="spellEnd"/>
      <w:r w:rsidRPr="00CF10A5">
        <w:rPr>
          <w:lang w:val="en-GB"/>
        </w:rPr>
        <w:t>-s-undulating-high- line-building-for22-500-a-month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</w:footnote>
  <w:footnote w:id="24">
    <w:p w14:paraId="213D72F5" w14:textId="77777777" w:rsidR="008B0185" w:rsidRDefault="007A05AC">
      <w:pPr>
        <w:pStyle w:val="footnotedescription"/>
        <w:tabs>
          <w:tab w:val="center" w:pos="2876"/>
        </w:tabs>
        <w:spacing w:after="38"/>
      </w:pPr>
      <w:r>
        <w:rPr>
          <w:rStyle w:val="footnotemark"/>
        </w:rPr>
        <w:footnoteRef/>
      </w:r>
      <w:r>
        <w:t xml:space="preserve"> M. </w:t>
      </w:r>
      <w:proofErr w:type="spellStart"/>
      <w:r>
        <w:t>Wilczkiewicz</w:t>
      </w:r>
      <w:proofErr w:type="spellEnd"/>
      <w:r>
        <w:t xml:space="preserve">, Wprowadzenie </w:t>
      </w:r>
      <w:r>
        <w:rPr>
          <w:i/>
        </w:rPr>
        <w:t>zieleni</w:t>
      </w:r>
      <w:r>
        <w:rPr>
          <w:i/>
        </w:rPr>
        <w:t xml:space="preserve"> komponowanej…, </w:t>
      </w:r>
      <w:r>
        <w:t>op. cit.,</w:t>
      </w:r>
      <w:r>
        <w:rPr>
          <w:i/>
        </w:rPr>
        <w:t xml:space="preserve"> s. 229.</w:t>
      </w:r>
    </w:p>
  </w:footnote>
  <w:footnote w:id="25">
    <w:p w14:paraId="4D6FE377" w14:textId="77777777" w:rsidR="008B0185" w:rsidRPr="00CF10A5" w:rsidRDefault="007A05AC">
      <w:pPr>
        <w:pStyle w:val="footnotedescription"/>
        <w:spacing w:after="18" w:line="253" w:lineRule="auto"/>
        <w:ind w:left="283" w:right="52" w:hanging="283"/>
        <w:jc w:val="both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P. </w:t>
      </w:r>
      <w:proofErr w:type="spellStart"/>
      <w:r w:rsidRPr="00CF10A5">
        <w:rPr>
          <w:lang w:val="en-GB"/>
        </w:rPr>
        <w:t>Gobster</w:t>
      </w:r>
      <w:proofErr w:type="spellEnd"/>
      <w:r w:rsidRPr="00CF10A5">
        <w:rPr>
          <w:lang w:val="en-GB"/>
        </w:rPr>
        <w:t xml:space="preserve">, S. Sachdeva, G. Lindsey, P. H. </w:t>
      </w:r>
      <w:proofErr w:type="spellStart"/>
      <w:r w:rsidRPr="00CF10A5">
        <w:rPr>
          <w:lang w:val="en-GB"/>
        </w:rPr>
        <w:t>Gobster</w:t>
      </w:r>
      <w:proofErr w:type="spellEnd"/>
      <w:r w:rsidRPr="00CF10A5">
        <w:rPr>
          <w:lang w:val="en-GB"/>
        </w:rPr>
        <w:t xml:space="preserve">, G. H. Lindsey, </w:t>
      </w:r>
      <w:r w:rsidRPr="00CF10A5">
        <w:rPr>
          <w:i/>
          <w:lang w:val="en-GB"/>
        </w:rPr>
        <w:t xml:space="preserve">Up on The 606 Understanding the use of a new Elevated Pedestrian and Bicycle Trail In Chicago, Illinois, </w:t>
      </w:r>
      <w:r w:rsidRPr="00CF10A5">
        <w:rPr>
          <w:lang w:val="en-GB"/>
        </w:rPr>
        <w:t xml:space="preserve">„Transportation Research Record: Journal of the </w:t>
      </w:r>
      <w:r w:rsidRPr="00CF10A5">
        <w:rPr>
          <w:lang w:val="en-GB"/>
        </w:rPr>
        <w:t>Transportation Research Board”, 2644/2017, s. 83.</w:t>
      </w:r>
    </w:p>
  </w:footnote>
  <w:footnote w:id="26">
    <w:p w14:paraId="58762A7D" w14:textId="77777777" w:rsidR="008B0185" w:rsidRPr="00CF10A5" w:rsidRDefault="007A05AC">
      <w:pPr>
        <w:pStyle w:val="footnotedescription"/>
        <w:spacing w:after="0" w:line="270" w:lineRule="auto"/>
        <w:ind w:left="283" w:hanging="283"/>
        <w:jc w:val="both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A garden bridge that works: how Seoul succeeded where London failed, https://www.theguardian.com/cities/2017/may/19/seoul-skygarden-south-korea-london-garden-bridge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 xml:space="preserve">: </w:t>
      </w:r>
    </w:p>
  </w:footnote>
  <w:footnote w:id="27">
    <w:p w14:paraId="4848EA95" w14:textId="77777777" w:rsidR="008B0185" w:rsidRPr="00CF10A5" w:rsidRDefault="007A05AC">
      <w:pPr>
        <w:pStyle w:val="footnotedescription"/>
        <w:spacing w:after="5"/>
        <w:ind w:left="284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.04.20</w:t>
      </w:r>
      <w:r w:rsidRPr="00CF10A5">
        <w:rPr>
          <w:lang w:val="en-GB"/>
        </w:rPr>
        <w:t>18).</w:t>
      </w:r>
    </w:p>
  </w:footnote>
  <w:footnote w:id="28">
    <w:p w14:paraId="305C228F" w14:textId="77777777" w:rsidR="008B0185" w:rsidRPr="00CF10A5" w:rsidRDefault="007A05AC">
      <w:pPr>
        <w:pStyle w:val="footnotedescription"/>
        <w:tabs>
          <w:tab w:val="center" w:pos="3490"/>
        </w:tabs>
        <w:spacing w:after="46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US. and World Population Gl</w:t>
      </w:r>
      <w:r w:rsidRPr="00CF10A5">
        <w:rPr>
          <w:lang w:val="en-GB"/>
        </w:rPr>
        <w:t>ock, https://www.census.gov/popclock/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</w:footnote>
  <w:footnote w:id="29">
    <w:p w14:paraId="59A685EA" w14:textId="77777777" w:rsidR="008B0185" w:rsidRPr="00CF10A5" w:rsidRDefault="007A05AC">
      <w:pPr>
        <w:pStyle w:val="footnotedescription"/>
        <w:spacing w:after="0" w:line="281" w:lineRule="auto"/>
        <w:ind w:left="283" w:hanging="283"/>
        <w:jc w:val="both"/>
        <w:rPr>
          <w:lang w:val="en-GB"/>
        </w:rPr>
      </w:pPr>
      <w:r>
        <w:rPr>
          <w:rStyle w:val="footnotemark"/>
        </w:rPr>
        <w:footnoteRef/>
      </w:r>
      <w:r w:rsidRPr="00CF10A5">
        <w:rPr>
          <w:lang w:val="en-GB"/>
        </w:rPr>
        <w:t xml:space="preserve"> The World’s Cities in 2016, http://www.un.org/en/development/desa/population/publications/ pdf/urbanization/the_worlds_cities_in_2016_data_booklet.pdf (</w:t>
      </w:r>
      <w:proofErr w:type="spellStart"/>
      <w:r w:rsidRPr="00CF10A5">
        <w:rPr>
          <w:lang w:val="en-GB"/>
        </w:rPr>
        <w:t>dostęp</w:t>
      </w:r>
      <w:proofErr w:type="spellEnd"/>
      <w:r w:rsidRPr="00CF10A5">
        <w:rPr>
          <w:lang w:val="en-GB"/>
        </w:rPr>
        <w:t>: 03.04.2018).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983BD" w14:textId="77777777" w:rsidR="008B0185" w:rsidRDefault="007A05AC">
    <w:pPr>
      <w:spacing w:after="0" w:line="259" w:lineRule="auto"/>
      <w:ind w:left="-312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F2C46AD" wp14:editId="30A00615">
              <wp:simplePos x="0" y="0"/>
              <wp:positionH relativeFrom="page">
                <wp:posOffset>702000</wp:posOffset>
              </wp:positionH>
              <wp:positionV relativeFrom="page">
                <wp:posOffset>695064</wp:posOffset>
              </wp:positionV>
              <wp:extent cx="4518000" cy="3175"/>
              <wp:effectExtent l="0" t="0" r="0" b="0"/>
              <wp:wrapSquare wrapText="bothSides"/>
              <wp:docPr id="9382" name="Group 9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8000" cy="3175"/>
                        <a:chOff x="0" y="0"/>
                        <a:chExt cx="4518000" cy="3175"/>
                      </a:xfrm>
                    </wpg:grpSpPr>
                    <wps:wsp>
                      <wps:cNvPr id="9383" name="Shape 9383"/>
                      <wps:cNvSpPr/>
                      <wps:spPr>
                        <a:xfrm>
                          <a:off x="0" y="0"/>
                          <a:ext cx="4518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8000">
                              <a:moveTo>
                                <a:pt x="0" y="0"/>
                              </a:moveTo>
                              <a:lnTo>
                                <a:pt x="45180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1616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82" style="width:355.748pt;height:0.25pt;position:absolute;mso-position-horizontal-relative:page;mso-position-horizontal:absolute;margin-left:55.2756pt;mso-position-vertical-relative:page;margin-top:54.7294pt;" coordsize="45180,31">
              <v:shape id="Shape 9383" style="position:absolute;width:45180;height:0;left:0;top:0;" coordsize="4518000,0" path="m0,0l4518000,0">
                <v:stroke weight="0.25pt" endcap="flat" joinstyle="miter" miterlimit="10" on="true" color="#161617"/>
                <v:fill on="false" color="#000000" opacity="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32</w:t>
    </w:r>
    <w:r>
      <w:fldChar w:fldCharType="end"/>
    </w:r>
    <w:r>
      <w:t xml:space="preserve">  </w:t>
    </w:r>
    <w:r>
      <w:rPr>
        <w:rFonts w:ascii="Wingdings" w:eastAsia="Wingdings" w:hAnsi="Wingdings" w:cs="Wingdings"/>
      </w:rPr>
      <w:t></w:t>
    </w:r>
    <w:r>
      <w:t xml:space="preserve"> </w:t>
    </w:r>
    <w:r w:rsidRPr="00CF10A5">
      <w:rPr>
        <w:w w:val="80"/>
      </w:rPr>
      <w:t xml:space="preserve"> ARCH-ECO </w:t>
    </w:r>
    <w:r w:rsidRPr="00CF10A5">
      <w:rPr>
        <w:w w:val="80"/>
        <w:sz w:val="16"/>
      </w:rPr>
      <w:t>Transformacje przestrzeni - przestrzeń dla zmian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48142" w14:textId="77777777" w:rsidR="008B0185" w:rsidRDefault="007A05AC">
    <w:pPr>
      <w:spacing w:after="0" w:line="259" w:lineRule="auto"/>
      <w:ind w:right="3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16260E" wp14:editId="1ABE9312">
              <wp:simplePos x="0" y="0"/>
              <wp:positionH relativeFrom="page">
                <wp:posOffset>899999</wp:posOffset>
              </wp:positionH>
              <wp:positionV relativeFrom="page">
                <wp:posOffset>705017</wp:posOffset>
              </wp:positionV>
              <wp:extent cx="4500004" cy="3175"/>
              <wp:effectExtent l="0" t="0" r="0" b="0"/>
              <wp:wrapSquare wrapText="bothSides"/>
              <wp:docPr id="9370" name="Group 93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0004" cy="3175"/>
                        <a:chOff x="0" y="0"/>
                        <a:chExt cx="4500004" cy="3175"/>
                      </a:xfrm>
                    </wpg:grpSpPr>
                    <wps:wsp>
                      <wps:cNvPr id="9371" name="Shape 9371"/>
                      <wps:cNvSpPr/>
                      <wps:spPr>
                        <a:xfrm>
                          <a:off x="0" y="0"/>
                          <a:ext cx="450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0004">
                              <a:moveTo>
                                <a:pt x="0" y="0"/>
                              </a:moveTo>
                              <a:lnTo>
                                <a:pt x="4500004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1616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70" style="width:354.331pt;height:0.25pt;position:absolute;mso-position-horizontal-relative:page;mso-position-horizontal:absolute;margin-left:70.8661pt;mso-position-vertical-relative:page;margin-top:55.5132pt;" coordsize="45000,31">
              <v:shape id="Shape 9371" style="position:absolute;width:45000;height:0;left:0;top:0;" coordsize="4500004,0" path="m0,0l4500004,0">
                <v:stroke weight="0.25pt" endcap="flat" joinstyle="miter" miterlimit="10" on="true" color="#161617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6"/>
      </w:rPr>
      <w:t xml:space="preserve">Kamil Owczarek </w:t>
    </w:r>
    <w:r>
      <w:t xml:space="preserve"> </w:t>
    </w:r>
    <w:r>
      <w:rPr>
        <w:rFonts w:ascii="Wingdings" w:eastAsia="Wingdings" w:hAnsi="Wingdings" w:cs="Wingdings"/>
      </w:rPr>
      <w:t></w:t>
    </w:r>
    <w: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t>33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BB975" w14:textId="77777777" w:rsidR="008B0185" w:rsidRDefault="008B0185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220AD"/>
    <w:multiLevelType w:val="hybridMultilevel"/>
    <w:tmpl w:val="AE24324C"/>
    <w:lvl w:ilvl="0" w:tplc="0532BD36">
      <w:start w:val="1"/>
      <w:numFmt w:val="decimal"/>
      <w:lvlText w:val="[%1]"/>
      <w:lvlJc w:val="left"/>
      <w:pPr>
        <w:ind w:left="397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E90A83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3F079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38255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640366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DCE07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A7297D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E1ED44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8824B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4D1DF1"/>
    <w:multiLevelType w:val="hybridMultilevel"/>
    <w:tmpl w:val="9EB05830"/>
    <w:lvl w:ilvl="0" w:tplc="A1C48602">
      <w:start w:val="1"/>
      <w:numFmt w:val="decimal"/>
      <w:lvlText w:val="[%1]"/>
      <w:lvlJc w:val="left"/>
      <w:pPr>
        <w:ind w:left="397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3C611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688C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01033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A8022E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8EA9A8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528C3D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284D49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556A7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CE2F1D"/>
    <w:multiLevelType w:val="hybridMultilevel"/>
    <w:tmpl w:val="5956CABE"/>
    <w:lvl w:ilvl="0" w:tplc="6BB8DFCE">
      <w:start w:val="5"/>
      <w:numFmt w:val="decimal"/>
      <w:lvlText w:val="%1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1" w:tplc="A50E7F3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2" w:tplc="76D2E1B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3" w:tplc="6486EE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4" w:tplc="BE7874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5" w:tplc="D2048A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6" w:tplc="98C66C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7" w:tplc="9B28F8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8" w:tplc="6BC608D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616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85"/>
    <w:rsid w:val="007A05AC"/>
    <w:rsid w:val="008B0185"/>
    <w:rsid w:val="00C328BD"/>
    <w:rsid w:val="00CF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DA91E"/>
  <w15:docId w15:val="{0202D742-3DB2-4BCC-A2C9-8FAB8F7CD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94" w:lineRule="auto"/>
      <w:ind w:right="50" w:firstLine="330"/>
      <w:jc w:val="both"/>
    </w:pPr>
    <w:rPr>
      <w:rFonts w:ascii="Calibri" w:eastAsia="Calibri" w:hAnsi="Calibri" w:cs="Calibri"/>
      <w:color w:val="161617"/>
      <w:sz w:val="19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48"/>
      <w:outlineLvl w:val="0"/>
    </w:pPr>
    <w:rPr>
      <w:rFonts w:ascii="Calibri" w:eastAsia="Calibri" w:hAnsi="Calibri" w:cs="Calibri"/>
      <w:b/>
      <w:color w:val="161617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161617"/>
      <w:sz w:val="26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27"/>
    </w:pPr>
    <w:rPr>
      <w:rFonts w:ascii="Calibri" w:eastAsia="Calibri" w:hAnsi="Calibri" w:cs="Calibri"/>
      <w:color w:val="161617"/>
      <w:sz w:val="16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161617"/>
      <w:sz w:val="16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161617"/>
      <w:sz w:val="14"/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CF1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10A5"/>
    <w:rPr>
      <w:rFonts w:ascii="Calibri" w:eastAsia="Calibri" w:hAnsi="Calibri" w:cs="Calibri"/>
      <w:color w:val="161617"/>
      <w:sz w:val="19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10A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F10A5"/>
    <w:rPr>
      <w:rFonts w:ascii="Calibri" w:eastAsia="Calibri" w:hAnsi="Calibri" w:cs="Calibri"/>
      <w:color w:val="161617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0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9E8AF-A7B2-4965-A5CD-EC4A00E30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2734</Words>
  <Characters>17527</Characters>
  <Application>Microsoft Office Word</Application>
  <DocSecurity>0</DocSecurity>
  <Lines>343</Lines>
  <Paragraphs>244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Haupt</dc:creator>
  <cp:keywords/>
  <cp:lastModifiedBy>Patrycja Haupt</cp:lastModifiedBy>
  <cp:revision>2</cp:revision>
  <dcterms:created xsi:type="dcterms:W3CDTF">2020-06-02T09:30:00Z</dcterms:created>
  <dcterms:modified xsi:type="dcterms:W3CDTF">2020-06-02T09:30:00Z</dcterms:modified>
</cp:coreProperties>
</file>